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F573E3" w14:textId="77777777" w:rsidR="0054484B" w:rsidRPr="00B669A0" w:rsidRDefault="0054484B" w:rsidP="0054484B">
      <w:pPr>
        <w:spacing w:after="0"/>
        <w:jc w:val="center"/>
        <w:rPr>
          <w:b/>
          <w:bCs/>
          <w:lang w:val="en-GB"/>
        </w:rPr>
      </w:pPr>
      <w:r w:rsidRPr="00B669A0">
        <w:rPr>
          <w:b/>
          <w:bCs/>
          <w:lang w:val="en-GB"/>
        </w:rPr>
        <w:t>TARGETED STAKEHOLDER CONSULTATION 2021 RULE OF LAW REPORT</w:t>
      </w:r>
    </w:p>
    <w:p w14:paraId="2F6BA59B" w14:textId="77777777" w:rsidR="0054484B" w:rsidRPr="00B669A0" w:rsidRDefault="0054484B" w:rsidP="0054484B">
      <w:pPr>
        <w:spacing w:after="0"/>
        <w:jc w:val="center"/>
        <w:rPr>
          <w:b/>
          <w:bCs/>
          <w:lang w:val="en-AU"/>
        </w:rPr>
      </w:pPr>
      <w:r w:rsidRPr="00B669A0">
        <w:rPr>
          <w:b/>
          <w:bCs/>
          <w:lang w:val="en-AU"/>
        </w:rPr>
        <w:t>UN HUMAN RIGHTS REGIONAL OFFICE FOR EUROPE (OHCHR)</w:t>
      </w:r>
    </w:p>
    <w:p w14:paraId="4FC6977F" w14:textId="77777777" w:rsidR="0054484B" w:rsidRDefault="0054484B" w:rsidP="0054484B">
      <w:pPr>
        <w:jc w:val="both"/>
        <w:rPr>
          <w:lang w:val="en-AU"/>
        </w:rPr>
      </w:pPr>
    </w:p>
    <w:p w14:paraId="1EEC3B77" w14:textId="77777777" w:rsidR="0054484B" w:rsidRDefault="0054484B" w:rsidP="0054484B">
      <w:pPr>
        <w:jc w:val="both"/>
        <w:rPr>
          <w:lang w:val="en-AU"/>
        </w:rPr>
      </w:pPr>
    </w:p>
    <w:p w14:paraId="67B20CE9" w14:textId="77777777" w:rsidR="0054484B" w:rsidRDefault="0054484B" w:rsidP="0054484B">
      <w:pPr>
        <w:pBdr>
          <w:bottom w:val="single" w:sz="4" w:space="1" w:color="auto"/>
        </w:pBdr>
        <w:rPr>
          <w:b/>
          <w:bCs/>
          <w:lang w:val="en-GB"/>
        </w:rPr>
      </w:pPr>
      <w:r w:rsidRPr="008D1682">
        <w:rPr>
          <w:b/>
          <w:bCs/>
          <w:lang w:val="en-AU"/>
        </w:rPr>
        <w:t>BELGIUM REVIEW</w:t>
      </w:r>
    </w:p>
    <w:p w14:paraId="34A627D4" w14:textId="77777777" w:rsidR="0054484B" w:rsidRPr="001B7CA2" w:rsidRDefault="0054484B" w:rsidP="0054484B">
      <w:pPr>
        <w:rPr>
          <w:lang w:val="en-GB"/>
        </w:rPr>
      </w:pPr>
      <w:r w:rsidRPr="001B7CA2">
        <w:rPr>
          <w:b/>
          <w:bCs/>
          <w:lang w:val="en-GB"/>
        </w:rPr>
        <w:t xml:space="preserve">I. Justice System </w:t>
      </w:r>
    </w:p>
    <w:p w14:paraId="6552BA0B" w14:textId="77777777" w:rsidR="0054484B" w:rsidRPr="001B7CA2" w:rsidRDefault="0054484B" w:rsidP="0054484B">
      <w:pPr>
        <w:rPr>
          <w:lang w:val="en-GB"/>
        </w:rPr>
      </w:pPr>
      <w:r w:rsidRPr="001B7CA2">
        <w:rPr>
          <w:b/>
          <w:bCs/>
          <w:i/>
          <w:iCs/>
          <w:lang w:val="en-GB"/>
        </w:rPr>
        <w:t xml:space="preserve">A. Independence </w:t>
      </w:r>
    </w:p>
    <w:p w14:paraId="31B82385" w14:textId="77777777" w:rsidR="0054484B" w:rsidRPr="001B7CA2" w:rsidRDefault="0054484B" w:rsidP="0054484B">
      <w:pPr>
        <w:rPr>
          <w:lang w:val="en-GB"/>
        </w:rPr>
      </w:pPr>
      <w:r w:rsidRPr="001B7CA2">
        <w:rPr>
          <w:i/>
          <w:iCs/>
          <w:lang w:val="en-GB"/>
        </w:rPr>
        <w:t xml:space="preserve">1. Appointment and selection of judges, prosecutors and court presidents </w:t>
      </w:r>
    </w:p>
    <w:p w14:paraId="003771E6" w14:textId="77777777" w:rsidR="0054484B" w:rsidRPr="001B7CA2" w:rsidRDefault="0054484B" w:rsidP="0054484B">
      <w:pPr>
        <w:rPr>
          <w:lang w:val="en-GB"/>
        </w:rPr>
      </w:pPr>
      <w:r w:rsidRPr="001B7CA2">
        <w:rPr>
          <w:i/>
          <w:iCs/>
          <w:lang w:val="en-GB"/>
        </w:rPr>
        <w:t xml:space="preserve">2. </w:t>
      </w:r>
      <w:proofErr w:type="spellStart"/>
      <w:r w:rsidRPr="001B7CA2">
        <w:rPr>
          <w:i/>
          <w:iCs/>
          <w:lang w:val="en-GB"/>
        </w:rPr>
        <w:t>Irremovability</w:t>
      </w:r>
      <w:proofErr w:type="spellEnd"/>
      <w:r w:rsidRPr="001B7CA2">
        <w:rPr>
          <w:i/>
          <w:iCs/>
          <w:lang w:val="en-GB"/>
        </w:rPr>
        <w:t xml:space="preserve"> of judges; including transfers, dismissal and retirement regime of judges, court presidents and prosecutors </w:t>
      </w:r>
    </w:p>
    <w:p w14:paraId="6A192A17" w14:textId="77777777" w:rsidR="0054484B" w:rsidRPr="001B7CA2" w:rsidRDefault="0054484B" w:rsidP="0054484B">
      <w:pPr>
        <w:rPr>
          <w:lang w:val="en-GB"/>
        </w:rPr>
      </w:pPr>
      <w:r w:rsidRPr="001B7CA2">
        <w:rPr>
          <w:i/>
          <w:iCs/>
          <w:lang w:val="en-GB"/>
        </w:rPr>
        <w:t xml:space="preserve">3. Promotion of judges and prosecutors </w:t>
      </w:r>
    </w:p>
    <w:p w14:paraId="6270B4A2" w14:textId="77777777" w:rsidR="0054484B" w:rsidRPr="001B7CA2" w:rsidRDefault="0054484B" w:rsidP="0054484B">
      <w:pPr>
        <w:rPr>
          <w:lang w:val="en-GB"/>
        </w:rPr>
      </w:pPr>
      <w:r w:rsidRPr="001B7CA2">
        <w:rPr>
          <w:i/>
          <w:iCs/>
          <w:lang w:val="en-GB"/>
        </w:rPr>
        <w:t xml:space="preserve">4. Allocation of cases in courts </w:t>
      </w:r>
    </w:p>
    <w:p w14:paraId="18CE91E1" w14:textId="77777777" w:rsidR="0054484B" w:rsidRPr="001B7CA2" w:rsidRDefault="0054484B" w:rsidP="0054484B">
      <w:pPr>
        <w:rPr>
          <w:lang w:val="en-GB"/>
        </w:rPr>
      </w:pPr>
      <w:r w:rsidRPr="001B7CA2">
        <w:rPr>
          <w:i/>
          <w:iCs/>
          <w:lang w:val="en-GB"/>
        </w:rPr>
        <w:t xml:space="preserve">5. Independence (including composition and nomination of its members), and powers of the body tasked with safeguarding the independence of the judiciary (e.g. Council for the Judiciary) </w:t>
      </w:r>
    </w:p>
    <w:p w14:paraId="47BF3536" w14:textId="77777777" w:rsidR="0054484B" w:rsidRPr="001B7CA2" w:rsidRDefault="0054484B" w:rsidP="0054484B">
      <w:pPr>
        <w:rPr>
          <w:lang w:val="en-GB"/>
        </w:rPr>
      </w:pPr>
      <w:r w:rsidRPr="001B7CA2">
        <w:rPr>
          <w:i/>
          <w:iCs/>
          <w:lang w:val="en-GB"/>
        </w:rPr>
        <w:t xml:space="preserve">6. Accountability of judges and prosecutors, including disciplinary regime and bodies and ethical rules, judicial immunity and criminal liability of judges. </w:t>
      </w:r>
    </w:p>
    <w:p w14:paraId="0D69359B" w14:textId="77777777" w:rsidR="0054484B" w:rsidRPr="001B7CA2" w:rsidRDefault="0054484B" w:rsidP="0054484B">
      <w:pPr>
        <w:rPr>
          <w:lang w:val="en-GB"/>
        </w:rPr>
      </w:pPr>
      <w:r w:rsidRPr="001B7CA2">
        <w:rPr>
          <w:i/>
          <w:iCs/>
          <w:lang w:val="en-GB"/>
        </w:rPr>
        <w:t xml:space="preserve">7. Remuneration/bonuses for judges and prosecutors </w:t>
      </w:r>
    </w:p>
    <w:p w14:paraId="183A3EBF" w14:textId="77777777" w:rsidR="0054484B" w:rsidRPr="001B7CA2" w:rsidRDefault="0054484B" w:rsidP="0054484B">
      <w:pPr>
        <w:rPr>
          <w:lang w:val="en-GB"/>
        </w:rPr>
      </w:pPr>
      <w:r w:rsidRPr="001B7CA2">
        <w:rPr>
          <w:i/>
          <w:iCs/>
          <w:lang w:val="en-GB"/>
        </w:rPr>
        <w:t xml:space="preserve">8. Independence/autonomy of the prosecution service </w:t>
      </w:r>
    </w:p>
    <w:p w14:paraId="0D85EB26" w14:textId="77777777" w:rsidR="0054484B" w:rsidRPr="001B7CA2" w:rsidRDefault="0054484B" w:rsidP="0054484B">
      <w:pPr>
        <w:rPr>
          <w:lang w:val="en-GB"/>
        </w:rPr>
      </w:pPr>
      <w:r w:rsidRPr="001B7CA2">
        <w:rPr>
          <w:i/>
          <w:iCs/>
          <w:lang w:val="en-GB"/>
        </w:rPr>
        <w:t xml:space="preserve">9. Independence of the Bar (chamber/association of lawyers) and of lawyers </w:t>
      </w:r>
    </w:p>
    <w:p w14:paraId="659AC866" w14:textId="77777777" w:rsidR="0054484B" w:rsidRPr="001B7CA2" w:rsidRDefault="0054484B" w:rsidP="0054484B">
      <w:pPr>
        <w:rPr>
          <w:lang w:val="en-GB"/>
        </w:rPr>
      </w:pPr>
      <w:r w:rsidRPr="001B7CA2">
        <w:rPr>
          <w:i/>
          <w:iCs/>
          <w:lang w:val="en-GB"/>
        </w:rPr>
        <w:t xml:space="preserve">10. Significant developments capable of affecting the perception that the general public has of the independence of the judiciary </w:t>
      </w:r>
    </w:p>
    <w:p w14:paraId="7E06E8B6" w14:textId="77777777" w:rsidR="0054484B" w:rsidRPr="001B7CA2" w:rsidRDefault="0054484B" w:rsidP="0054484B">
      <w:pPr>
        <w:rPr>
          <w:lang w:val="en-GB"/>
        </w:rPr>
      </w:pPr>
      <w:r w:rsidRPr="001B7CA2">
        <w:rPr>
          <w:lang w:val="en-GB"/>
        </w:rPr>
        <w:t xml:space="preserve"> </w:t>
      </w:r>
      <w:r w:rsidRPr="001B7CA2">
        <w:rPr>
          <w:b/>
          <w:bCs/>
          <w:i/>
          <w:iCs/>
          <w:lang w:val="en-GB"/>
        </w:rPr>
        <w:t xml:space="preserve">B. Quality of justice </w:t>
      </w:r>
    </w:p>
    <w:p w14:paraId="6A1A9164" w14:textId="77777777" w:rsidR="0054484B" w:rsidRPr="001B7CA2" w:rsidRDefault="0054484B" w:rsidP="0054484B">
      <w:pPr>
        <w:rPr>
          <w:i/>
          <w:iCs/>
          <w:lang w:val="en-GB"/>
        </w:rPr>
      </w:pPr>
      <w:r w:rsidRPr="001B7CA2">
        <w:rPr>
          <w:i/>
          <w:iCs/>
          <w:lang w:val="en-GB"/>
        </w:rPr>
        <w:t xml:space="preserve">11. Accessibility of courts (e.g. court fees, legal aid, language) </w:t>
      </w:r>
    </w:p>
    <w:p w14:paraId="6CC55F85" w14:textId="519E9278" w:rsidR="008C2750" w:rsidRDefault="0054484B" w:rsidP="0054484B">
      <w:pPr>
        <w:jc w:val="both"/>
        <w:rPr>
          <w:rFonts w:cstheme="minorHAnsi"/>
          <w:lang w:val="en-AU"/>
        </w:rPr>
      </w:pPr>
      <w:r w:rsidRPr="00B669A0">
        <w:rPr>
          <w:rFonts w:cstheme="minorHAnsi"/>
          <w:bCs/>
          <w:lang w:val="en-AU"/>
        </w:rPr>
        <w:t>The UN Human Rights Committee, in its 2019 concluding observations, expressed concerns</w:t>
      </w:r>
      <w:r w:rsidRPr="00B669A0">
        <w:rPr>
          <w:rFonts w:cstheme="minorHAnsi"/>
          <w:b/>
          <w:bCs/>
          <w:lang w:val="en-AU"/>
        </w:rPr>
        <w:t xml:space="preserve"> </w:t>
      </w:r>
      <w:r w:rsidRPr="00B669A0">
        <w:rPr>
          <w:rFonts w:cstheme="minorHAnsi"/>
          <w:lang w:val="en-US"/>
        </w:rPr>
        <w:t xml:space="preserve">about the fact that Belgian nationals suspected of terrorism or war crimes may be tried in third countries, without respect for the legal guarantees of the right to a fair trial and of the other rights contained in the Covenant </w:t>
      </w:r>
      <w:r w:rsidRPr="00B669A0">
        <w:rPr>
          <w:rFonts w:cstheme="minorHAnsi"/>
          <w:lang w:val="en-AU"/>
        </w:rPr>
        <w:t>on Civil and Political Rights</w:t>
      </w:r>
      <w:r w:rsidRPr="00B669A0">
        <w:rPr>
          <w:rFonts w:cstheme="minorHAnsi"/>
          <w:lang w:val="en-US"/>
        </w:rPr>
        <w:t>.</w:t>
      </w:r>
      <w:r w:rsidRPr="00B669A0">
        <w:rPr>
          <w:rFonts w:cstheme="minorHAnsi"/>
          <w:lang w:val="en-AU"/>
        </w:rPr>
        <w:t xml:space="preserve"> </w:t>
      </w:r>
      <w:r>
        <w:rPr>
          <w:rFonts w:cstheme="minorHAnsi"/>
          <w:lang w:val="en-AU"/>
        </w:rPr>
        <w:t>The</w:t>
      </w:r>
      <w:r w:rsidRPr="00B669A0">
        <w:rPr>
          <w:rFonts w:cstheme="minorHAnsi"/>
          <w:lang w:val="en-AU"/>
        </w:rPr>
        <w:t xml:space="preserve"> Committee stated Belgium should </w:t>
      </w:r>
      <w:r w:rsidRPr="00B669A0">
        <w:rPr>
          <w:rFonts w:cstheme="minorHAnsi"/>
          <w:lang w:val="en-US"/>
        </w:rPr>
        <w:t>ensure that Belgian nationals suspected of acts of terrorism or war crimes are brought to justice in accordance with the rights contained in the Covenant</w:t>
      </w:r>
      <w:r w:rsidRPr="00B669A0">
        <w:rPr>
          <w:rFonts w:cstheme="minorHAnsi"/>
          <w:lang w:val="en-AU"/>
        </w:rPr>
        <w:t>.</w:t>
      </w:r>
      <w:r w:rsidR="00AD70A4">
        <w:rPr>
          <w:rFonts w:cstheme="minorHAnsi"/>
          <w:lang w:val="en-AU"/>
        </w:rPr>
        <w:t xml:space="preserve"> (</w:t>
      </w:r>
      <w:hyperlink r:id="rId6" w:history="1">
        <w:r w:rsidRPr="0054484B">
          <w:rPr>
            <w:rStyle w:val="Hyperlink"/>
            <w:rFonts w:cstheme="minorHAnsi"/>
            <w:lang w:val="en-AU"/>
          </w:rPr>
          <w:t>CCPR/C/BEL/CO/6</w:t>
        </w:r>
      </w:hyperlink>
      <w:r>
        <w:rPr>
          <w:rFonts w:cstheme="minorHAnsi"/>
          <w:lang w:val="en-AU"/>
        </w:rPr>
        <w:t>, para 13, 14.)</w:t>
      </w:r>
    </w:p>
    <w:p w14:paraId="2646242D" w14:textId="4B65EC65" w:rsidR="008C2750" w:rsidRDefault="008C2750" w:rsidP="0054484B">
      <w:pPr>
        <w:jc w:val="both"/>
        <w:rPr>
          <w:rFonts w:eastAsia="Calibri" w:cstheme="minorHAnsi"/>
          <w:bCs/>
          <w:lang w:val="en-GB"/>
        </w:rPr>
      </w:pPr>
      <w:r w:rsidRPr="002C7FB0">
        <w:rPr>
          <w:rFonts w:cstheme="minorHAnsi"/>
          <w:lang w:val="en-AU"/>
        </w:rPr>
        <w:t xml:space="preserve">Similar concerns </w:t>
      </w:r>
      <w:r w:rsidRPr="002C7FB0">
        <w:rPr>
          <w:rFonts w:eastAsia="Calibri" w:cstheme="minorHAnsi"/>
          <w:lang w:val="en-GB"/>
        </w:rPr>
        <w:t>about Belgian nationals being at risk of being subjected to torture or other cruel, inhuman or degrading treatment, an unfair trial and the death penalty</w:t>
      </w:r>
      <w:r w:rsidRPr="002C7FB0">
        <w:rPr>
          <w:rFonts w:cstheme="minorHAnsi"/>
          <w:lang w:val="en-AU"/>
        </w:rPr>
        <w:t xml:space="preserve"> were raised by the UN Special Rapporteur on the promotion and protection of human rights and fundamental freedoms while countering terrorism in her country visit report in 2019 (</w:t>
      </w:r>
      <w:hyperlink r:id="rId7" w:history="1">
        <w:r w:rsidRPr="002C7FB0">
          <w:rPr>
            <w:rStyle w:val="Hyperlink"/>
            <w:rFonts w:cstheme="minorHAnsi"/>
            <w:lang w:val="en-AU"/>
          </w:rPr>
          <w:t>A/HRC/40/52/Add.5</w:t>
        </w:r>
      </w:hyperlink>
      <w:r w:rsidRPr="002C7FB0">
        <w:rPr>
          <w:rFonts w:cstheme="minorHAnsi"/>
          <w:lang w:val="en-AU"/>
        </w:rPr>
        <w:t>, para 15)</w:t>
      </w:r>
      <w:r w:rsidR="002C7FB0" w:rsidRPr="002C7FB0">
        <w:rPr>
          <w:rFonts w:cstheme="minorHAnsi"/>
          <w:lang w:val="en-AU"/>
        </w:rPr>
        <w:t>. S</w:t>
      </w:r>
      <w:r w:rsidRPr="002C7FB0">
        <w:rPr>
          <w:rFonts w:cstheme="minorHAnsi"/>
          <w:lang w:val="en-AU"/>
        </w:rPr>
        <w:t>everal Special Procedures</w:t>
      </w:r>
      <w:r w:rsidR="002C7FB0" w:rsidRPr="002C7FB0">
        <w:rPr>
          <w:rFonts w:cstheme="minorHAnsi"/>
          <w:lang w:val="en-AU"/>
        </w:rPr>
        <w:t xml:space="preserve"> mandate-holders</w:t>
      </w:r>
      <w:r w:rsidRPr="002C7FB0">
        <w:rPr>
          <w:rFonts w:cstheme="minorHAnsi"/>
          <w:lang w:val="en-AU"/>
        </w:rPr>
        <w:t xml:space="preserve">, notably </w:t>
      </w:r>
      <w:r w:rsidRPr="002C7FB0">
        <w:rPr>
          <w:rFonts w:eastAsia="Calibri" w:cstheme="minorHAnsi"/>
          <w:bCs/>
          <w:lang w:val="en-GB"/>
        </w:rPr>
        <w:t>the UN Special Rapporteur on Extrajudicial, Summary or Arbitrary executions</w:t>
      </w:r>
      <w:r w:rsidR="002C7FB0" w:rsidRPr="002C7FB0">
        <w:rPr>
          <w:rFonts w:eastAsia="Calibri" w:cstheme="minorHAnsi"/>
          <w:bCs/>
          <w:lang w:val="en-GB"/>
        </w:rPr>
        <w:t>, initiated a dialogue with Belgium on the matter</w:t>
      </w:r>
      <w:r w:rsidRPr="002C7FB0">
        <w:rPr>
          <w:rFonts w:eastAsia="Calibri" w:cstheme="minorHAnsi"/>
          <w:bCs/>
          <w:lang w:val="en-GB"/>
        </w:rPr>
        <w:t xml:space="preserve"> (</w:t>
      </w:r>
      <w:hyperlink r:id="rId8" w:history="1">
        <w:r w:rsidRPr="002C7FB0">
          <w:rPr>
            <w:rStyle w:val="Hyperlink"/>
            <w:rFonts w:eastAsia="Calibri" w:cstheme="minorHAnsi"/>
            <w:bCs/>
            <w:lang w:val="en-GB"/>
          </w:rPr>
          <w:t>BEL 1/2020</w:t>
        </w:r>
      </w:hyperlink>
      <w:r w:rsidRPr="002C7FB0">
        <w:rPr>
          <w:rFonts w:eastAsia="Calibri" w:cstheme="minorHAnsi"/>
          <w:bCs/>
          <w:lang w:val="en-GB"/>
        </w:rPr>
        <w:t xml:space="preserve">, </w:t>
      </w:r>
      <w:hyperlink r:id="rId9" w:history="1">
        <w:r w:rsidRPr="002C7FB0">
          <w:rPr>
            <w:rStyle w:val="Hyperlink"/>
            <w:rFonts w:eastAsia="Calibri" w:cstheme="minorHAnsi"/>
            <w:bCs/>
            <w:lang w:val="en-GB"/>
          </w:rPr>
          <w:t>BEL 4/2019</w:t>
        </w:r>
      </w:hyperlink>
      <w:r w:rsidRPr="002C7FB0">
        <w:rPr>
          <w:rFonts w:eastAsia="Calibri" w:cstheme="minorHAnsi"/>
          <w:bCs/>
          <w:lang w:val="en-GB"/>
        </w:rPr>
        <w:t xml:space="preserve">, </w:t>
      </w:r>
      <w:hyperlink r:id="rId10" w:history="1">
        <w:r w:rsidRPr="002C7FB0">
          <w:rPr>
            <w:rStyle w:val="Hyperlink"/>
            <w:rFonts w:eastAsia="Calibri" w:cstheme="minorHAnsi"/>
            <w:bCs/>
            <w:lang w:val="en-GB"/>
          </w:rPr>
          <w:t>BEL 1/2018</w:t>
        </w:r>
      </w:hyperlink>
      <w:r w:rsidRPr="002C7FB0">
        <w:rPr>
          <w:rFonts w:eastAsia="Calibri" w:cstheme="minorHAnsi"/>
          <w:bCs/>
          <w:lang w:val="en-GB"/>
        </w:rPr>
        <w:t xml:space="preserve">, available at </w:t>
      </w:r>
      <w:hyperlink r:id="rId11" w:history="1">
        <w:r w:rsidRPr="002C7FB0">
          <w:rPr>
            <w:rStyle w:val="Hyperlink"/>
            <w:rFonts w:eastAsia="Calibri" w:cstheme="minorHAnsi"/>
            <w:bCs/>
            <w:lang w:val="en-GB"/>
          </w:rPr>
          <w:t>https://spcommreports.ohchr.org/Tmsearch/TMDocuments</w:t>
        </w:r>
      </w:hyperlink>
      <w:r w:rsidRPr="002C7FB0">
        <w:rPr>
          <w:rFonts w:eastAsia="Calibri" w:cstheme="minorHAnsi"/>
          <w:bCs/>
          <w:lang w:val="en-GB"/>
        </w:rPr>
        <w:t>).</w:t>
      </w:r>
    </w:p>
    <w:p w14:paraId="1146E451" w14:textId="546C342B" w:rsidR="00E6339C" w:rsidRDefault="00E6339C" w:rsidP="00E6339C">
      <w:pPr>
        <w:jc w:val="both"/>
        <w:rPr>
          <w:lang w:val="en-GB"/>
        </w:rPr>
      </w:pPr>
      <w:r w:rsidRPr="00E6339C">
        <w:rPr>
          <w:bCs/>
          <w:iCs/>
          <w:lang w:val="en-GB"/>
        </w:rPr>
        <w:lastRenderedPageBreak/>
        <w:t xml:space="preserve">In February 2021, UN Human Rights experts called </w:t>
      </w:r>
      <w:r w:rsidRPr="00E6339C">
        <w:rPr>
          <w:bCs/>
          <w:iCs/>
          <w:lang w:val="en-BE"/>
        </w:rPr>
        <w:t>on</w:t>
      </w:r>
      <w:r w:rsidRPr="00E6339C">
        <w:rPr>
          <w:bCs/>
          <w:iCs/>
          <w:lang w:val="en-GB"/>
        </w:rPr>
        <w:t xml:space="preserve"> 57 countries, including</w:t>
      </w:r>
      <w:r w:rsidRPr="00E6339C">
        <w:rPr>
          <w:rStyle w:val="lblnewsfulltext"/>
          <w:color w:val="FF0000"/>
          <w:lang w:val="en-US"/>
        </w:rPr>
        <w:t xml:space="preserve"> </w:t>
      </w:r>
      <w:r w:rsidRPr="00E6339C">
        <w:rPr>
          <w:rStyle w:val="lblnewsfulltext"/>
          <w:lang w:val="en-US"/>
        </w:rPr>
        <w:t>Belgium</w:t>
      </w:r>
      <w:r w:rsidRPr="00E6339C">
        <w:rPr>
          <w:bCs/>
          <w:iCs/>
          <w:lang w:val="en-BE"/>
        </w:rPr>
        <w:t>,</w:t>
      </w:r>
      <w:r w:rsidRPr="00E6339C">
        <w:rPr>
          <w:bCs/>
          <w:iCs/>
          <w:lang w:val="en-GB"/>
        </w:rPr>
        <w:t xml:space="preserve"> to repatriate women and children from </w:t>
      </w:r>
      <w:r>
        <w:rPr>
          <w:bCs/>
          <w:iCs/>
          <w:lang w:val="en-GB"/>
        </w:rPr>
        <w:t xml:space="preserve">the </w:t>
      </w:r>
      <w:bookmarkStart w:id="0" w:name="_GoBack"/>
      <w:bookmarkEnd w:id="0"/>
      <w:r w:rsidRPr="00E6339C">
        <w:rPr>
          <w:bCs/>
          <w:iCs/>
          <w:lang w:val="en-GB"/>
        </w:rPr>
        <w:t xml:space="preserve">camps in northeast Syrian camps. The experts expressed concern that </w:t>
      </w:r>
      <w:r w:rsidRPr="00E6339C">
        <w:rPr>
          <w:rStyle w:val="lblnewsfulltext"/>
          <w:lang w:val="en-US"/>
        </w:rPr>
        <w:t xml:space="preserve">people held in the camps were exposed to violence, exploitation, abuse and deprivation in conditions and treatment that may well amount to torture or other cruel, inhuman or degrading treatment or punishment under international law, with no effective remedy at their disposal. The experts </w:t>
      </w:r>
      <w:r w:rsidRPr="00E6339C">
        <w:rPr>
          <w:bCs/>
          <w:iCs/>
          <w:lang w:val="en-GB"/>
        </w:rPr>
        <w:t xml:space="preserve">recalled the urgent need for justice, truth and reparation for all of the victims of the very serious violations of human rights and humanitarian law that have occurred in the region.  In that context, the continued detention, on unclear grounds, of women and children in the camps </w:t>
      </w:r>
      <w:r w:rsidRPr="00E6339C">
        <w:rPr>
          <w:bCs/>
          <w:iCs/>
          <w:lang w:val="en-BE"/>
        </w:rPr>
        <w:t>was</w:t>
      </w:r>
      <w:r w:rsidRPr="00E6339C">
        <w:rPr>
          <w:bCs/>
          <w:iCs/>
          <w:lang w:val="en-GB"/>
        </w:rPr>
        <w:t xml:space="preserve"> a matter of grave concern and undermined the progression of accountability, truth and justice. (See at: </w:t>
      </w:r>
      <w:hyperlink r:id="rId12" w:history="1">
        <w:r w:rsidRPr="00E6339C">
          <w:rPr>
            <w:rStyle w:val="Hyperlink"/>
            <w:iCs/>
            <w:lang w:val="en-US"/>
          </w:rPr>
          <w:t>https://www.ohchr.org/EN/NewsEvents/Pages/DisplayNews.aspx?NewsID=26730</w:t>
        </w:r>
      </w:hyperlink>
      <w:r w:rsidRPr="00E6339C">
        <w:rPr>
          <w:lang w:val="en-GB"/>
        </w:rPr>
        <w:t>)</w:t>
      </w:r>
    </w:p>
    <w:p w14:paraId="23972E68" w14:textId="08A3A7D8" w:rsidR="008C2750" w:rsidRDefault="008C2750" w:rsidP="008C2750">
      <w:pPr>
        <w:rPr>
          <w:i/>
          <w:iCs/>
          <w:lang w:val="en-GB"/>
        </w:rPr>
      </w:pPr>
      <w:r w:rsidRPr="001B7CA2">
        <w:rPr>
          <w:i/>
          <w:iCs/>
          <w:lang w:val="en-GB"/>
        </w:rPr>
        <w:t xml:space="preserve">12. Resources of the judiciary (human/financial/material) </w:t>
      </w:r>
    </w:p>
    <w:p w14:paraId="096ACD95" w14:textId="7C2F1680" w:rsidR="00FC416C" w:rsidRPr="00FC416C" w:rsidRDefault="00FC416C" w:rsidP="00FC416C">
      <w:pPr>
        <w:jc w:val="both"/>
        <w:rPr>
          <w:lang w:val="en-GB"/>
        </w:rPr>
      </w:pPr>
      <w:r>
        <w:rPr>
          <w:bCs/>
          <w:lang w:val="en-US"/>
        </w:rPr>
        <w:t xml:space="preserve">In the report on its 2019 country visit to Belgium, the UN </w:t>
      </w:r>
      <w:r w:rsidRPr="00FC416C">
        <w:rPr>
          <w:bCs/>
          <w:lang w:val="en-US"/>
        </w:rPr>
        <w:t>Working Group of Experts on People of African Descent</w:t>
      </w:r>
      <w:r>
        <w:rPr>
          <w:bCs/>
          <w:lang w:val="en-US"/>
        </w:rPr>
        <w:t xml:space="preserve"> expressed deep concern about the lack of representation of people of African descent in the judiciary, law enforcement, government service, the correctional services, the federal and regional parliaments and municipal councils, noting that these institutions do not reflect the diversity of the population (</w:t>
      </w:r>
      <w:hyperlink r:id="rId13" w:history="1">
        <w:r w:rsidRPr="00DA1068">
          <w:rPr>
            <w:rStyle w:val="Hyperlink"/>
            <w:bCs/>
            <w:lang w:val="en-US"/>
          </w:rPr>
          <w:t>A/HRC/42/59/Add.1</w:t>
        </w:r>
      </w:hyperlink>
      <w:r>
        <w:rPr>
          <w:bCs/>
          <w:lang w:val="en-US"/>
        </w:rPr>
        <w:t>, para 43).</w:t>
      </w:r>
    </w:p>
    <w:p w14:paraId="79DC1CB3" w14:textId="77777777" w:rsidR="008C2750" w:rsidRPr="001B7CA2" w:rsidRDefault="008C2750" w:rsidP="008C2750">
      <w:pPr>
        <w:rPr>
          <w:i/>
          <w:iCs/>
          <w:lang w:val="en-GB"/>
        </w:rPr>
      </w:pPr>
      <w:r w:rsidRPr="001B7CA2">
        <w:rPr>
          <w:i/>
          <w:iCs/>
          <w:lang w:val="en-GB"/>
        </w:rPr>
        <w:t xml:space="preserve">13. Training of justice professionals (including judges, prosecutors, lawyers, court staff) </w:t>
      </w:r>
    </w:p>
    <w:p w14:paraId="0C4605D4" w14:textId="77777777" w:rsidR="008C2750" w:rsidRPr="001B7CA2" w:rsidRDefault="008C2750" w:rsidP="008C2750">
      <w:pPr>
        <w:rPr>
          <w:lang w:val="en-GB"/>
        </w:rPr>
      </w:pPr>
      <w:r w:rsidRPr="001B7CA2">
        <w:rPr>
          <w:i/>
          <w:iCs/>
          <w:lang w:val="en-GB"/>
        </w:rPr>
        <w:t xml:space="preserve">14. Digitalisation (e.g. use of digital technology, particularly electronic communication tools, within the justice system and with court users, including resilience of justice systems in COVID-19 pandemic) </w:t>
      </w:r>
    </w:p>
    <w:p w14:paraId="755A40CC" w14:textId="77777777" w:rsidR="008C2750" w:rsidRPr="001B7CA2" w:rsidRDefault="008C2750" w:rsidP="008C2750">
      <w:pPr>
        <w:rPr>
          <w:lang w:val="en-GB"/>
        </w:rPr>
      </w:pPr>
      <w:r w:rsidRPr="001B7CA2">
        <w:rPr>
          <w:i/>
          <w:iCs/>
          <w:lang w:val="en-GB"/>
        </w:rPr>
        <w:t xml:space="preserve">15. Use of assessment tools and standards (e.g. ICT systems for case management, court statistics and their transparency, monitoring, evaluation, surveys among court users or legal professionals) </w:t>
      </w:r>
    </w:p>
    <w:p w14:paraId="2274C773" w14:textId="77777777" w:rsidR="008C2750" w:rsidRPr="001B7CA2" w:rsidRDefault="008C2750" w:rsidP="008C2750">
      <w:pPr>
        <w:rPr>
          <w:lang w:val="en-GB"/>
        </w:rPr>
      </w:pPr>
      <w:r w:rsidRPr="001B7CA2">
        <w:rPr>
          <w:i/>
          <w:iCs/>
          <w:lang w:val="en-GB"/>
        </w:rPr>
        <w:t xml:space="preserve">16. Geographical distribution and number of courts/jurisdictions (“judicial map”) and their specialisation </w:t>
      </w:r>
    </w:p>
    <w:p w14:paraId="75144BA2" w14:textId="77777777" w:rsidR="008C2750" w:rsidRPr="001B7CA2" w:rsidRDefault="008C2750" w:rsidP="008C2750">
      <w:pPr>
        <w:rPr>
          <w:lang w:val="en-GB"/>
        </w:rPr>
      </w:pPr>
      <w:r w:rsidRPr="001B7CA2">
        <w:rPr>
          <w:b/>
          <w:bCs/>
          <w:i/>
          <w:iCs/>
          <w:lang w:val="en-GB"/>
        </w:rPr>
        <w:t xml:space="preserve">C. Efficiency of the justice system </w:t>
      </w:r>
    </w:p>
    <w:p w14:paraId="26A68349" w14:textId="77777777" w:rsidR="008C2750" w:rsidRPr="00383787" w:rsidRDefault="008C2750" w:rsidP="008C2750">
      <w:pPr>
        <w:rPr>
          <w:lang w:val="en-GB"/>
        </w:rPr>
      </w:pPr>
      <w:r w:rsidRPr="001B7CA2">
        <w:rPr>
          <w:i/>
          <w:iCs/>
          <w:lang w:val="en-GB"/>
        </w:rPr>
        <w:t xml:space="preserve">17. Length of proceedings </w:t>
      </w:r>
    </w:p>
    <w:p w14:paraId="4E2950E9" w14:textId="0A8B69C2" w:rsidR="008C2750" w:rsidRPr="008C2750" w:rsidRDefault="008C2750" w:rsidP="008C2750">
      <w:pPr>
        <w:jc w:val="both"/>
        <w:rPr>
          <w:b/>
          <w:bCs/>
          <w:i/>
          <w:iCs/>
          <w:lang w:val="en-GB"/>
        </w:rPr>
      </w:pPr>
      <w:r w:rsidRPr="001B7CA2">
        <w:rPr>
          <w:b/>
          <w:bCs/>
          <w:i/>
          <w:iCs/>
          <w:lang w:val="en-GB"/>
        </w:rPr>
        <w:t>Other – please specify</w:t>
      </w:r>
    </w:p>
    <w:p w14:paraId="22BFADB3" w14:textId="17C0360F" w:rsidR="008C2750" w:rsidRPr="00EF36D6" w:rsidRDefault="008C2750" w:rsidP="008C2750">
      <w:pPr>
        <w:jc w:val="both"/>
        <w:rPr>
          <w:rFonts w:eastAsia="Calibri" w:cstheme="minorHAnsi"/>
          <w:i/>
          <w:iCs/>
          <w:lang w:val="en-GB"/>
        </w:rPr>
      </w:pPr>
      <w:r w:rsidRPr="003702C2">
        <w:rPr>
          <w:rFonts w:cstheme="minorHAnsi"/>
          <w:i/>
          <w:iCs/>
          <w:lang w:val="en-US"/>
        </w:rPr>
        <w:t>Administration of juvenile justice</w:t>
      </w:r>
      <w:r w:rsidR="003702C2">
        <w:rPr>
          <w:rFonts w:cstheme="minorHAnsi"/>
          <w:i/>
          <w:iCs/>
          <w:lang w:val="en-US"/>
        </w:rPr>
        <w:t xml:space="preserve"> - </w:t>
      </w:r>
      <w:r>
        <w:rPr>
          <w:bCs/>
          <w:lang w:val="en-GB"/>
        </w:rPr>
        <w:t>T</w:t>
      </w:r>
      <w:r w:rsidRPr="00CC6B37">
        <w:rPr>
          <w:bCs/>
          <w:lang w:val="en-GB"/>
        </w:rPr>
        <w:t xml:space="preserve">he UN Committee on the Rights of the Child welcomed </w:t>
      </w:r>
      <w:r>
        <w:rPr>
          <w:bCs/>
          <w:lang w:val="en-GB"/>
        </w:rPr>
        <w:t>i</w:t>
      </w:r>
      <w:r w:rsidRPr="00CC6B37">
        <w:rPr>
          <w:bCs/>
          <w:lang w:val="en-GB"/>
        </w:rPr>
        <w:t>n its 2019 concluding observations</w:t>
      </w:r>
      <w:r>
        <w:rPr>
          <w:bCs/>
          <w:lang w:val="en-GB"/>
        </w:rPr>
        <w:t xml:space="preserve"> </w:t>
      </w:r>
      <w:r w:rsidRPr="00CC6B37">
        <w:rPr>
          <w:lang w:val="en-US"/>
        </w:rPr>
        <w:t xml:space="preserve">the extension of the right to legal assistance to every suspect from the first interrogation and the establishment of the family and youth court back in 2014. </w:t>
      </w:r>
      <w:r w:rsidR="003702C2">
        <w:rPr>
          <w:lang w:val="en-US"/>
        </w:rPr>
        <w:t>It</w:t>
      </w:r>
      <w:r w:rsidRPr="00EF36D6">
        <w:rPr>
          <w:lang w:val="en-GB"/>
        </w:rPr>
        <w:t xml:space="preserve"> nevertheless remained</w:t>
      </w:r>
      <w:r w:rsidRPr="00024911">
        <w:rPr>
          <w:lang w:val="en-US"/>
        </w:rPr>
        <w:t xml:space="preserve"> seriously concerned that, under the 2013 amendment to the act on municipal administrative penalties, the age for imposing such penalties was lowered from 16 to 14 years old, and that new penalties were introduced. </w:t>
      </w:r>
      <w:r>
        <w:rPr>
          <w:lang w:val="en-US"/>
        </w:rPr>
        <w:t>The Committee</w:t>
      </w:r>
      <w:r w:rsidRPr="00EF36D6">
        <w:rPr>
          <w:lang w:val="en-US"/>
        </w:rPr>
        <w:t xml:space="preserve"> urged Belgium to </w:t>
      </w:r>
      <w:r w:rsidRPr="00EF36D6">
        <w:rPr>
          <w:bCs/>
          <w:lang w:val="en-US"/>
        </w:rPr>
        <w:t xml:space="preserve">eliminate all possibility that a child be tried in an adult court or detained with adults, and to review the act on municipal and administrative penalties with a view to ensuring that it is not applicable </w:t>
      </w:r>
      <w:r w:rsidRPr="00EF36D6">
        <w:rPr>
          <w:rFonts w:cstheme="minorHAnsi"/>
          <w:bCs/>
          <w:lang w:val="en-US"/>
        </w:rPr>
        <w:t xml:space="preserve">to children and that sanctions for antisocial </w:t>
      </w:r>
      <w:proofErr w:type="spellStart"/>
      <w:r w:rsidRPr="00EF36D6">
        <w:rPr>
          <w:rFonts w:cstheme="minorHAnsi"/>
          <w:bCs/>
          <w:lang w:val="en-US"/>
        </w:rPr>
        <w:t>behaviour</w:t>
      </w:r>
      <w:proofErr w:type="spellEnd"/>
      <w:r w:rsidRPr="00EF36D6">
        <w:rPr>
          <w:rFonts w:cstheme="minorHAnsi"/>
          <w:bCs/>
          <w:lang w:val="en-US"/>
        </w:rPr>
        <w:t xml:space="preserve"> can only be imposed within the juvenile justice system. </w:t>
      </w:r>
      <w:r w:rsidR="00DA1068">
        <w:rPr>
          <w:rFonts w:eastAsia="Calibri" w:cstheme="minorHAnsi"/>
          <w:lang w:val="en-GB"/>
        </w:rPr>
        <w:t>(</w:t>
      </w:r>
      <w:hyperlink r:id="rId14" w:history="1">
        <w:r w:rsidRPr="00EF36D6">
          <w:rPr>
            <w:rStyle w:val="Hyperlink"/>
            <w:rFonts w:cstheme="minorHAnsi"/>
            <w:lang w:val="en-GB"/>
          </w:rPr>
          <w:t>CRC/C/BEL/CO/5-6</w:t>
        </w:r>
      </w:hyperlink>
      <w:r>
        <w:rPr>
          <w:rFonts w:cstheme="minorHAnsi"/>
          <w:lang w:val="en-GB"/>
        </w:rPr>
        <w:t xml:space="preserve">, </w:t>
      </w:r>
      <w:r w:rsidRPr="00EF36D6">
        <w:rPr>
          <w:rFonts w:cstheme="minorHAnsi"/>
          <w:lang w:val="en-GB"/>
        </w:rPr>
        <w:t>para 46</w:t>
      </w:r>
      <w:r w:rsidR="003702C2">
        <w:rPr>
          <w:rFonts w:cstheme="minorHAnsi"/>
          <w:lang w:val="en-GB"/>
        </w:rPr>
        <w:t xml:space="preserve">, </w:t>
      </w:r>
      <w:r w:rsidRPr="00EF36D6">
        <w:rPr>
          <w:rFonts w:cstheme="minorHAnsi"/>
          <w:lang w:val="en-GB"/>
        </w:rPr>
        <w:t>47).</w:t>
      </w:r>
    </w:p>
    <w:p w14:paraId="37384B46" w14:textId="0639E3F6" w:rsidR="008C2750" w:rsidRPr="00C34944" w:rsidRDefault="008C2750" w:rsidP="008C2750">
      <w:pPr>
        <w:jc w:val="both"/>
        <w:rPr>
          <w:rFonts w:eastAsia="Calibri" w:cstheme="minorHAnsi"/>
          <w:lang w:val="en-GB"/>
        </w:rPr>
      </w:pPr>
      <w:r w:rsidRPr="003702C2">
        <w:rPr>
          <w:rFonts w:cstheme="minorHAnsi"/>
          <w:i/>
          <w:iCs/>
          <w:lang w:val="en-US"/>
        </w:rPr>
        <w:t>Consistency of counter-terrorism legislation with international humanitarian law</w:t>
      </w:r>
      <w:r w:rsidR="003702C2">
        <w:rPr>
          <w:rFonts w:cstheme="minorHAnsi"/>
          <w:i/>
          <w:iCs/>
          <w:lang w:val="en-US"/>
        </w:rPr>
        <w:t xml:space="preserve"> - </w:t>
      </w:r>
      <w:r w:rsidRPr="00C34944">
        <w:rPr>
          <w:rFonts w:eastAsia="Calibri" w:cstheme="minorHAnsi"/>
          <w:lang w:val="en-GB"/>
        </w:rPr>
        <w:t xml:space="preserve">The </w:t>
      </w:r>
      <w:r w:rsidR="00DA1068">
        <w:rPr>
          <w:rFonts w:eastAsia="Calibri" w:cstheme="minorHAnsi"/>
          <w:lang w:val="en-GB"/>
        </w:rPr>
        <w:t xml:space="preserve">UN </w:t>
      </w:r>
      <w:r w:rsidRPr="00C34944">
        <w:rPr>
          <w:rFonts w:eastAsia="Calibri" w:cstheme="minorHAnsi"/>
          <w:lang w:val="en-GB"/>
        </w:rPr>
        <w:t xml:space="preserve">Special Rapporteur on the promotion and protection of human rights and fundamental freedoms while countering terrorism, in her country visit report </w:t>
      </w:r>
      <w:r w:rsidRPr="002C7FB0">
        <w:rPr>
          <w:rFonts w:eastAsia="Calibri" w:cstheme="minorHAnsi"/>
          <w:lang w:val="en-US"/>
        </w:rPr>
        <w:t>of</w:t>
      </w:r>
      <w:r w:rsidRPr="00C34944">
        <w:rPr>
          <w:rFonts w:eastAsia="Calibri" w:cstheme="minorHAnsi"/>
          <w:lang w:val="en-GB"/>
        </w:rPr>
        <w:t xml:space="preserve"> 2019, strongly welcomed the exce</w:t>
      </w:r>
      <w:r>
        <w:rPr>
          <w:rFonts w:eastAsia="Calibri" w:cstheme="minorHAnsi"/>
          <w:lang w:val="en-GB"/>
        </w:rPr>
        <w:t xml:space="preserve">ption set out in article 141bis of the Penal Code, which excludes </w:t>
      </w:r>
      <w:r w:rsidRPr="00C34944">
        <w:rPr>
          <w:rFonts w:eastAsia="Calibri" w:cstheme="minorHAnsi"/>
          <w:lang w:val="en-GB"/>
        </w:rPr>
        <w:t xml:space="preserve">from the scope of application of general criminal law relating to terrorist offences “acts by armed forces in a situation of armed conflict as defined in and subject to international humanitarian law” and “acts by the armed forces of a State in the context of their official tasks, insofar as those tasks are subject to other provisions of international law”. </w:t>
      </w:r>
      <w:r>
        <w:rPr>
          <w:rFonts w:eastAsia="Calibri" w:cstheme="minorHAnsi"/>
          <w:lang w:val="en-GB"/>
        </w:rPr>
        <w:t>The Special Rapporteur</w:t>
      </w:r>
      <w:r w:rsidRPr="00C34944">
        <w:rPr>
          <w:rFonts w:eastAsia="Calibri" w:cstheme="minorHAnsi"/>
          <w:lang w:val="en-GB"/>
        </w:rPr>
        <w:t xml:space="preserve"> urged relevant authorities to ensure that it is duly reflected in relevant criminal prosecutions</w:t>
      </w:r>
      <w:r w:rsidR="00DA1068">
        <w:rPr>
          <w:rFonts w:eastAsia="Calibri" w:cstheme="minorHAnsi"/>
          <w:lang w:val="en-GB"/>
        </w:rPr>
        <w:t xml:space="preserve"> </w:t>
      </w:r>
      <w:r w:rsidRPr="00C34944">
        <w:rPr>
          <w:rFonts w:eastAsia="Calibri" w:cstheme="minorHAnsi"/>
          <w:lang w:val="en-GB"/>
        </w:rPr>
        <w:t>(</w:t>
      </w:r>
      <w:hyperlink r:id="rId15" w:history="1">
        <w:r w:rsidRPr="008A1B74">
          <w:rPr>
            <w:rStyle w:val="Hyperlink"/>
            <w:rFonts w:cstheme="minorHAnsi"/>
            <w:lang w:val="en-GB"/>
          </w:rPr>
          <w:t>A/HRC/40/52/Add.5</w:t>
        </w:r>
      </w:hyperlink>
      <w:r w:rsidRPr="00C34944">
        <w:rPr>
          <w:rFonts w:cstheme="minorHAnsi"/>
          <w:lang w:val="en-GB"/>
        </w:rPr>
        <w:t>, para 24)</w:t>
      </w:r>
      <w:r>
        <w:rPr>
          <w:rFonts w:cstheme="minorHAnsi"/>
          <w:lang w:val="en-GB"/>
        </w:rPr>
        <w:t>.</w:t>
      </w:r>
    </w:p>
    <w:p w14:paraId="48333091" w14:textId="4E0CEE9F" w:rsidR="008C2750" w:rsidRDefault="008C2750" w:rsidP="008C2750">
      <w:pPr>
        <w:jc w:val="both"/>
        <w:rPr>
          <w:rFonts w:cstheme="minorHAnsi"/>
          <w:lang w:val="en-US"/>
        </w:rPr>
      </w:pPr>
      <w:r w:rsidRPr="003702C2">
        <w:rPr>
          <w:rFonts w:cstheme="minorHAnsi"/>
          <w:i/>
          <w:iCs/>
          <w:lang w:val="en-US"/>
        </w:rPr>
        <w:t>Security of person and conditions of detention</w:t>
      </w:r>
      <w:r w:rsidR="003702C2">
        <w:rPr>
          <w:rFonts w:cstheme="minorHAnsi"/>
          <w:i/>
          <w:iCs/>
          <w:lang w:val="en-US"/>
        </w:rPr>
        <w:t xml:space="preserve"> - </w:t>
      </w:r>
      <w:r w:rsidR="00DA1068">
        <w:rPr>
          <w:rFonts w:cstheme="minorHAnsi"/>
          <w:lang w:val="en-GB"/>
        </w:rPr>
        <w:t>In its 2019 concluding o</w:t>
      </w:r>
      <w:r w:rsidRPr="00EF4DF8">
        <w:rPr>
          <w:rFonts w:cstheme="minorHAnsi"/>
          <w:lang w:val="en-GB"/>
        </w:rPr>
        <w:t xml:space="preserve">bservations, </w:t>
      </w:r>
      <w:r w:rsidRPr="00EF4DF8">
        <w:rPr>
          <w:rFonts w:cstheme="minorHAnsi"/>
          <w:lang w:val="en-US"/>
        </w:rPr>
        <w:t xml:space="preserve">the UN Human Rights Committee noted the measures taken by Belgium to improve conditions of </w:t>
      </w:r>
      <w:r w:rsidR="00D50FC2" w:rsidRPr="00EF4DF8">
        <w:rPr>
          <w:rFonts w:cstheme="minorHAnsi"/>
          <w:lang w:val="en-US"/>
        </w:rPr>
        <w:t>detention</w:t>
      </w:r>
      <w:r w:rsidR="00D50FC2" w:rsidRPr="002C7FB0">
        <w:rPr>
          <w:rFonts w:cstheme="minorHAnsi"/>
          <w:lang w:val="en-US"/>
        </w:rPr>
        <w:t xml:space="preserve"> but</w:t>
      </w:r>
      <w:r w:rsidRPr="00EF4DF8">
        <w:rPr>
          <w:rFonts w:cstheme="minorHAnsi"/>
          <w:lang w:val="en-US"/>
        </w:rPr>
        <w:t xml:space="preserve"> remained concerned about the high rate of overcrowding. The Committee encouraged Belgiu</w:t>
      </w:r>
      <w:r w:rsidR="00B21CFA">
        <w:rPr>
          <w:rFonts w:cstheme="minorHAnsi"/>
          <w:lang w:val="en-US"/>
        </w:rPr>
        <w:t xml:space="preserve">m </w:t>
      </w:r>
      <w:r>
        <w:rPr>
          <w:rFonts w:cstheme="minorHAnsi"/>
          <w:lang w:val="en-US"/>
        </w:rPr>
        <w:t>to</w:t>
      </w:r>
      <w:r w:rsidRPr="00EF4DF8">
        <w:rPr>
          <w:rFonts w:cstheme="minorHAnsi"/>
          <w:lang w:val="en-US"/>
        </w:rPr>
        <w:t xml:space="preserve"> improve living conditions at detention facilities</w:t>
      </w:r>
      <w:r w:rsidR="00B21CFA">
        <w:rPr>
          <w:rFonts w:cstheme="minorHAnsi"/>
          <w:lang w:val="en-US"/>
        </w:rPr>
        <w:t xml:space="preserve"> (</w:t>
      </w:r>
      <w:r w:rsidR="00B21CFA" w:rsidRPr="00EF4DF8">
        <w:rPr>
          <w:rFonts w:cstheme="minorHAnsi"/>
          <w:lang w:val="en-US"/>
        </w:rPr>
        <w:t>including through the use of alternatives to detention</w:t>
      </w:r>
      <w:r w:rsidR="00B21CFA">
        <w:rPr>
          <w:rFonts w:cstheme="minorHAnsi"/>
          <w:lang w:val="en-US"/>
        </w:rPr>
        <w:t xml:space="preserve">) </w:t>
      </w:r>
      <w:r w:rsidRPr="00EF4DF8">
        <w:rPr>
          <w:rFonts w:cstheme="minorHAnsi"/>
          <w:lang w:val="en-US"/>
        </w:rPr>
        <w:t>pursuant to the UN Standard Minimum Rules for the Treatment of Prisoners, and to ensure implementation of Act No. 2019011569 of 23 March 2019 on the organization of the prison service and the status of prison staff, so as to ensure the minimum staffing levels at pri</w:t>
      </w:r>
      <w:r w:rsidR="00DA1068">
        <w:rPr>
          <w:rFonts w:cstheme="minorHAnsi"/>
          <w:lang w:val="en-US"/>
        </w:rPr>
        <w:t xml:space="preserve">sons, including during strikes </w:t>
      </w:r>
      <w:r w:rsidRPr="00EF4DF8">
        <w:rPr>
          <w:rFonts w:cstheme="minorHAnsi"/>
          <w:lang w:val="en-US"/>
        </w:rPr>
        <w:t>(</w:t>
      </w:r>
      <w:hyperlink r:id="rId16" w:history="1">
        <w:r w:rsidRPr="008F5F0F">
          <w:rPr>
            <w:rStyle w:val="Hyperlink"/>
            <w:rFonts w:cstheme="minorHAnsi"/>
            <w:lang w:val="en-US"/>
          </w:rPr>
          <w:t>CCPR/C/BEL/CO/6</w:t>
        </w:r>
      </w:hyperlink>
      <w:r w:rsidRPr="00EF4DF8">
        <w:rPr>
          <w:rFonts w:cstheme="minorHAnsi"/>
          <w:lang w:val="en-US"/>
        </w:rPr>
        <w:t>, para 33</w:t>
      </w:r>
      <w:r w:rsidR="003702C2">
        <w:rPr>
          <w:rFonts w:cstheme="minorHAnsi"/>
          <w:lang w:val="en-US"/>
        </w:rPr>
        <w:t xml:space="preserve">, </w:t>
      </w:r>
      <w:r w:rsidRPr="00EF4DF8">
        <w:rPr>
          <w:rFonts w:cstheme="minorHAnsi"/>
          <w:lang w:val="en-US"/>
        </w:rPr>
        <w:t>34).</w:t>
      </w:r>
    </w:p>
    <w:p w14:paraId="5FAD9C08" w14:textId="16CD226A" w:rsidR="008C2750" w:rsidRDefault="008C2750" w:rsidP="003702C2">
      <w:pPr>
        <w:jc w:val="both"/>
        <w:rPr>
          <w:bCs/>
          <w:lang w:val="en-US"/>
        </w:rPr>
      </w:pPr>
      <w:r w:rsidRPr="003702C2">
        <w:rPr>
          <w:rFonts w:cstheme="minorHAnsi"/>
          <w:i/>
          <w:lang w:val="en-US"/>
        </w:rPr>
        <w:t xml:space="preserve">Admissible evidence </w:t>
      </w:r>
      <w:r w:rsidR="003702C2" w:rsidRPr="003702C2">
        <w:rPr>
          <w:rFonts w:cstheme="minorHAnsi"/>
          <w:i/>
          <w:lang w:val="en-US"/>
        </w:rPr>
        <w:t xml:space="preserve">- </w:t>
      </w:r>
      <w:r w:rsidR="00DA1068">
        <w:rPr>
          <w:rFonts w:cstheme="minorHAnsi"/>
          <w:lang w:val="en-GB"/>
        </w:rPr>
        <w:t>In its 2019 concluding o</w:t>
      </w:r>
      <w:r w:rsidRPr="003702C2">
        <w:rPr>
          <w:rFonts w:cstheme="minorHAnsi"/>
          <w:lang w:val="en-GB"/>
        </w:rPr>
        <w:t xml:space="preserve">bservations, </w:t>
      </w:r>
      <w:r w:rsidRPr="003702C2">
        <w:rPr>
          <w:rFonts w:cstheme="minorHAnsi"/>
          <w:lang w:val="en-US"/>
        </w:rPr>
        <w:t xml:space="preserve">the UN Human Rights Committee </w:t>
      </w:r>
      <w:r w:rsidRPr="003702C2">
        <w:rPr>
          <w:lang w:val="en-US"/>
        </w:rPr>
        <w:t xml:space="preserve">noted that article 417 </w:t>
      </w:r>
      <w:proofErr w:type="spellStart"/>
      <w:r w:rsidRPr="003702C2">
        <w:rPr>
          <w:lang w:val="en-US"/>
        </w:rPr>
        <w:t>bis</w:t>
      </w:r>
      <w:proofErr w:type="spellEnd"/>
      <w:r w:rsidRPr="003702C2">
        <w:rPr>
          <w:lang w:val="en-US"/>
        </w:rPr>
        <w:t xml:space="preserve"> of the Criminal Code had not been amended to include acts of torture committed by third parties at the instigation or with the consent or acquiescence of public </w:t>
      </w:r>
      <w:r w:rsidR="00D50FC2" w:rsidRPr="003702C2">
        <w:rPr>
          <w:lang w:val="en-US"/>
        </w:rPr>
        <w:t>officials or</w:t>
      </w:r>
      <w:r w:rsidRPr="003702C2">
        <w:rPr>
          <w:lang w:val="en-US"/>
        </w:rPr>
        <w:t xml:space="preserve"> acts of torture motivated by discrimination of any kind. The Committee was also concerned about the absence of a provision explicitly stating that evidence obtai</w:t>
      </w:r>
      <w:r w:rsidR="00DA1068">
        <w:rPr>
          <w:lang w:val="en-US"/>
        </w:rPr>
        <w:t xml:space="preserve">ned by torture is inadmissible </w:t>
      </w:r>
      <w:r w:rsidRPr="003702C2">
        <w:rPr>
          <w:bCs/>
          <w:lang w:val="en-US"/>
        </w:rPr>
        <w:t>(</w:t>
      </w:r>
      <w:hyperlink r:id="rId17" w:history="1">
        <w:r w:rsidRPr="003702C2">
          <w:rPr>
            <w:rStyle w:val="Hyperlink"/>
            <w:bCs/>
            <w:lang w:val="en-US"/>
          </w:rPr>
          <w:t>CCPR/C/BEL/CO/6</w:t>
        </w:r>
      </w:hyperlink>
      <w:r w:rsidR="003702C2" w:rsidRPr="003702C2">
        <w:rPr>
          <w:bCs/>
          <w:lang w:val="en-US"/>
        </w:rPr>
        <w:t xml:space="preserve">, para 25, </w:t>
      </w:r>
      <w:r w:rsidR="00B72C65" w:rsidRPr="003702C2">
        <w:rPr>
          <w:bCs/>
          <w:lang w:val="en-US"/>
        </w:rPr>
        <w:t>26).</w:t>
      </w:r>
    </w:p>
    <w:p w14:paraId="7479FEBD" w14:textId="77777777" w:rsidR="00B72C65" w:rsidRPr="001B7CA2" w:rsidRDefault="00B72C65" w:rsidP="00B72C65">
      <w:pPr>
        <w:rPr>
          <w:lang w:val="en-GB"/>
        </w:rPr>
      </w:pPr>
      <w:r w:rsidRPr="001B7CA2">
        <w:rPr>
          <w:b/>
          <w:bCs/>
          <w:lang w:val="en-GB"/>
        </w:rPr>
        <w:t xml:space="preserve">II. Anti-corruption framework </w:t>
      </w:r>
    </w:p>
    <w:p w14:paraId="072E8516" w14:textId="77777777" w:rsidR="00B72C65" w:rsidRPr="001B7CA2" w:rsidRDefault="00B72C65" w:rsidP="00B72C65">
      <w:pPr>
        <w:rPr>
          <w:lang w:val="en-GB"/>
        </w:rPr>
      </w:pPr>
      <w:r w:rsidRPr="001B7CA2">
        <w:rPr>
          <w:b/>
          <w:bCs/>
          <w:i/>
          <w:iCs/>
          <w:lang w:val="en-GB"/>
        </w:rPr>
        <w:t xml:space="preserve">A. The institutional framework capacity to fight against corruption (prevention and investigation / prosecution) </w:t>
      </w:r>
    </w:p>
    <w:p w14:paraId="1EB44A2D" w14:textId="77777777" w:rsidR="00B72C65" w:rsidRPr="001B7CA2" w:rsidRDefault="00B72C65" w:rsidP="00B72C65">
      <w:pPr>
        <w:rPr>
          <w:lang w:val="en-GB"/>
        </w:rPr>
      </w:pPr>
      <w:r w:rsidRPr="001B7CA2">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058E6822" w14:textId="77777777" w:rsidR="00B72C65" w:rsidRPr="001B7CA2" w:rsidRDefault="00B72C65" w:rsidP="00B72C65">
      <w:pPr>
        <w:rPr>
          <w:lang w:val="en-GB"/>
        </w:rPr>
      </w:pPr>
      <w:r w:rsidRPr="001B7CA2">
        <w:rPr>
          <w:b/>
          <w:bCs/>
          <w:i/>
          <w:iCs/>
          <w:lang w:val="en-GB"/>
        </w:rPr>
        <w:t xml:space="preserve">B. Prevention </w:t>
      </w:r>
    </w:p>
    <w:p w14:paraId="433D9447" w14:textId="77777777" w:rsidR="00B72C65" w:rsidRPr="001B7CA2" w:rsidRDefault="00B72C65" w:rsidP="00B72C65">
      <w:pPr>
        <w:rPr>
          <w:lang w:val="en-GB"/>
        </w:rPr>
      </w:pPr>
      <w:r w:rsidRPr="001B7CA2">
        <w:rPr>
          <w:i/>
          <w:iCs/>
          <w:lang w:val="en-GB"/>
        </w:rPr>
        <w:t xml:space="preserve">19. Integrity framework including incompatibility rules (e.g.: revolving doors) </w:t>
      </w:r>
    </w:p>
    <w:p w14:paraId="2C6E3CEA" w14:textId="77777777" w:rsidR="00B72C65" w:rsidRPr="001B7CA2" w:rsidRDefault="00B72C65" w:rsidP="00B72C65">
      <w:pPr>
        <w:rPr>
          <w:lang w:val="en-GB"/>
        </w:rPr>
      </w:pPr>
      <w:r w:rsidRPr="001B7CA2">
        <w:rPr>
          <w:i/>
          <w:iCs/>
          <w:lang w:val="en-GB"/>
        </w:rPr>
        <w:t xml:space="preserve">20. General transparency of public decision-making (including public access to information such as lobbying, asset disclosure rules and transparency of political party financing) </w:t>
      </w:r>
    </w:p>
    <w:p w14:paraId="1C239DAC" w14:textId="77777777" w:rsidR="00B72C65" w:rsidRPr="001B7CA2" w:rsidRDefault="00B72C65" w:rsidP="00B72C65">
      <w:pPr>
        <w:rPr>
          <w:lang w:val="en-GB"/>
        </w:rPr>
      </w:pPr>
      <w:r w:rsidRPr="001B7CA2">
        <w:rPr>
          <w:i/>
          <w:iCs/>
          <w:lang w:val="en-GB"/>
        </w:rPr>
        <w:t xml:space="preserve">21. Rules on preventing conflict of interests in the public sector </w:t>
      </w:r>
    </w:p>
    <w:p w14:paraId="1D649FF6" w14:textId="77777777" w:rsidR="00B72C65" w:rsidRPr="001B7CA2" w:rsidRDefault="00B72C65" w:rsidP="00B72C65">
      <w:pPr>
        <w:rPr>
          <w:lang w:val="en-GB"/>
        </w:rPr>
      </w:pPr>
      <w:r w:rsidRPr="001B7CA2">
        <w:rPr>
          <w:i/>
          <w:iCs/>
          <w:lang w:val="en-GB"/>
        </w:rPr>
        <w:t xml:space="preserve">22. Measures in place to ensure </w:t>
      </w:r>
      <w:proofErr w:type="spellStart"/>
      <w:r w:rsidRPr="001B7CA2">
        <w:rPr>
          <w:i/>
          <w:iCs/>
          <w:lang w:val="en-GB"/>
        </w:rPr>
        <w:t>whistleblower</w:t>
      </w:r>
      <w:proofErr w:type="spellEnd"/>
      <w:r w:rsidRPr="001B7CA2">
        <w:rPr>
          <w:i/>
          <w:iCs/>
          <w:lang w:val="en-GB"/>
        </w:rPr>
        <w:t xml:space="preserve"> protection and encourage reporting of corruption </w:t>
      </w:r>
    </w:p>
    <w:p w14:paraId="385956FE" w14:textId="77777777" w:rsidR="00B72C65" w:rsidRPr="001B7CA2" w:rsidRDefault="00B72C65" w:rsidP="00B72C65">
      <w:pPr>
        <w:rPr>
          <w:lang w:val="en-GB"/>
        </w:rPr>
      </w:pPr>
      <w:r w:rsidRPr="001B7CA2">
        <w:rPr>
          <w:i/>
          <w:iCs/>
          <w:lang w:val="en-GB"/>
        </w:rPr>
        <w:t xml:space="preserve">23. List the sectors with high-risks of corruption in your Member State and list the relevant measures taken/envisaged for preventing corruption and conflict of interest in these sectors. (e.g. public procurement, healthcare, other). </w:t>
      </w:r>
    </w:p>
    <w:p w14:paraId="566B11B5" w14:textId="77777777" w:rsidR="00B72C65" w:rsidRPr="001B7CA2" w:rsidRDefault="00B72C65" w:rsidP="00B72C65">
      <w:pPr>
        <w:rPr>
          <w:lang w:val="en-GB"/>
        </w:rPr>
      </w:pPr>
      <w:r w:rsidRPr="001B7CA2">
        <w:rPr>
          <w:i/>
          <w:iCs/>
          <w:lang w:val="en-GB"/>
        </w:rPr>
        <w:t xml:space="preserve">24. Measures taken to address corruption risks in the context of the COVID-19 pandemic. </w:t>
      </w:r>
    </w:p>
    <w:p w14:paraId="649338E0" w14:textId="77777777" w:rsidR="00B72C65" w:rsidRPr="001B7CA2" w:rsidRDefault="00B72C65" w:rsidP="00B72C65">
      <w:pPr>
        <w:rPr>
          <w:lang w:val="en-GB"/>
        </w:rPr>
      </w:pPr>
      <w:r w:rsidRPr="001B7CA2">
        <w:rPr>
          <w:i/>
          <w:iCs/>
          <w:lang w:val="en-GB"/>
        </w:rPr>
        <w:t xml:space="preserve">25. Any other relevant measures to prevent corruption in public and private sector </w:t>
      </w:r>
    </w:p>
    <w:p w14:paraId="7EF9C755" w14:textId="77777777" w:rsidR="00B72C65" w:rsidRPr="001B7CA2" w:rsidRDefault="00B72C65" w:rsidP="00B72C65">
      <w:pPr>
        <w:rPr>
          <w:lang w:val="en-GB"/>
        </w:rPr>
      </w:pPr>
      <w:r w:rsidRPr="001B7CA2">
        <w:rPr>
          <w:b/>
          <w:bCs/>
          <w:i/>
          <w:iCs/>
          <w:lang w:val="en-GB"/>
        </w:rPr>
        <w:t xml:space="preserve">C. Repressive measures </w:t>
      </w:r>
    </w:p>
    <w:p w14:paraId="4F60FF8A" w14:textId="77777777" w:rsidR="00B72C65" w:rsidRPr="001B7CA2" w:rsidRDefault="00B72C65" w:rsidP="00B72C65">
      <w:pPr>
        <w:rPr>
          <w:lang w:val="en-GB"/>
        </w:rPr>
      </w:pPr>
      <w:r w:rsidRPr="001B7CA2">
        <w:rPr>
          <w:i/>
          <w:iCs/>
          <w:lang w:val="en-GB"/>
        </w:rPr>
        <w:t xml:space="preserve">26. Criminalisation of corruption and related offences </w:t>
      </w:r>
    </w:p>
    <w:p w14:paraId="57382E1E" w14:textId="77777777" w:rsidR="00B72C65" w:rsidRPr="001B7CA2" w:rsidRDefault="00B72C65" w:rsidP="00B72C65">
      <w:pPr>
        <w:rPr>
          <w:lang w:val="en-GB"/>
        </w:rPr>
      </w:pPr>
      <w:r w:rsidRPr="001B7CA2">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14:paraId="214E1EB3" w14:textId="77777777" w:rsidR="00B72C65" w:rsidRPr="001B7CA2" w:rsidRDefault="00B72C65" w:rsidP="00B72C65">
      <w:pPr>
        <w:rPr>
          <w:lang w:val="en-GB"/>
        </w:rPr>
      </w:pPr>
      <w:r w:rsidRPr="001B7CA2">
        <w:rPr>
          <w:i/>
          <w:iCs/>
          <w:lang w:val="en-GB"/>
        </w:rPr>
        <w:t xml:space="preserve">28. Potential obstacles to investigation and prosecution of high-level and complex corruption cases (e.g. political immunity regulation) </w:t>
      </w:r>
    </w:p>
    <w:p w14:paraId="4CFC7EC9" w14:textId="77777777" w:rsidR="00B72C65" w:rsidRPr="001B7CA2" w:rsidRDefault="00B72C65" w:rsidP="00B72C65">
      <w:pPr>
        <w:rPr>
          <w:lang w:val="en-GB"/>
        </w:rPr>
      </w:pPr>
      <w:r w:rsidRPr="001B7CA2">
        <w:rPr>
          <w:b/>
          <w:bCs/>
          <w:i/>
          <w:iCs/>
          <w:lang w:val="en-GB"/>
        </w:rPr>
        <w:t xml:space="preserve">Other – please specify </w:t>
      </w:r>
    </w:p>
    <w:p w14:paraId="0D98C2FC" w14:textId="77777777" w:rsidR="00B72C65" w:rsidRPr="001B7CA2" w:rsidRDefault="00B72C65" w:rsidP="00B72C65">
      <w:pPr>
        <w:rPr>
          <w:lang w:val="en-GB"/>
        </w:rPr>
      </w:pPr>
      <w:r w:rsidRPr="001B7CA2">
        <w:rPr>
          <w:b/>
          <w:bCs/>
          <w:lang w:val="en-GB"/>
        </w:rPr>
        <w:t xml:space="preserve">III. Media pluralism </w:t>
      </w:r>
    </w:p>
    <w:p w14:paraId="387CE87B" w14:textId="77777777" w:rsidR="00B72C65" w:rsidRPr="001B7CA2" w:rsidRDefault="00B72C65" w:rsidP="00B72C65">
      <w:pPr>
        <w:rPr>
          <w:lang w:val="en-GB"/>
        </w:rPr>
      </w:pPr>
      <w:r w:rsidRPr="001B7CA2">
        <w:rPr>
          <w:b/>
          <w:bCs/>
          <w:i/>
          <w:iCs/>
          <w:lang w:val="en-GB"/>
        </w:rPr>
        <w:t xml:space="preserve">A. Media authorities and bodies </w:t>
      </w:r>
    </w:p>
    <w:p w14:paraId="2AEF9399" w14:textId="77777777" w:rsidR="00B72C65" w:rsidRPr="001B7CA2" w:rsidRDefault="00B72C65" w:rsidP="00B72C65">
      <w:pPr>
        <w:rPr>
          <w:lang w:val="en-GB"/>
        </w:rPr>
      </w:pPr>
      <w:r w:rsidRPr="001B7CA2">
        <w:rPr>
          <w:i/>
          <w:iCs/>
          <w:lang w:val="en-GB"/>
        </w:rPr>
        <w:t xml:space="preserve">29. Independence, enforcement powers and adequacy of resources of media regulatory authorities and bodies </w:t>
      </w:r>
    </w:p>
    <w:p w14:paraId="43FE110D" w14:textId="77777777" w:rsidR="00B72C65" w:rsidRPr="001B7CA2" w:rsidRDefault="00B72C65" w:rsidP="00B72C65">
      <w:pPr>
        <w:rPr>
          <w:lang w:val="en-GB"/>
        </w:rPr>
      </w:pPr>
      <w:r w:rsidRPr="001B7CA2">
        <w:rPr>
          <w:i/>
          <w:iCs/>
          <w:lang w:val="en-GB"/>
        </w:rPr>
        <w:t xml:space="preserve">30. Conditions and procedures for the appointment and dismissal of the head / members of the collegiate body of media regulatory authorities and bodies </w:t>
      </w:r>
    </w:p>
    <w:p w14:paraId="04E0E99B" w14:textId="77777777" w:rsidR="00B72C65" w:rsidRPr="001B7CA2" w:rsidRDefault="00B72C65" w:rsidP="00B72C65">
      <w:pPr>
        <w:rPr>
          <w:lang w:val="en-GB"/>
        </w:rPr>
      </w:pPr>
      <w:r w:rsidRPr="001B7CA2">
        <w:rPr>
          <w:i/>
          <w:iCs/>
          <w:lang w:val="en-GB"/>
        </w:rPr>
        <w:t xml:space="preserve">31. Existence and functions of media councils or other self-regulatory bodies </w:t>
      </w:r>
    </w:p>
    <w:p w14:paraId="436E9688" w14:textId="77777777" w:rsidR="00B72C65" w:rsidRPr="001B7CA2" w:rsidRDefault="00B72C65" w:rsidP="00B72C65">
      <w:pPr>
        <w:rPr>
          <w:lang w:val="en-GB"/>
        </w:rPr>
      </w:pPr>
      <w:r w:rsidRPr="001B7CA2">
        <w:rPr>
          <w:b/>
          <w:bCs/>
          <w:i/>
          <w:iCs/>
          <w:lang w:val="en-GB"/>
        </w:rPr>
        <w:t xml:space="preserve">B. Transparency of media ownership and government interference </w:t>
      </w:r>
    </w:p>
    <w:p w14:paraId="0491B43B" w14:textId="77777777" w:rsidR="00B72C65" w:rsidRPr="001B7CA2" w:rsidRDefault="00B72C65" w:rsidP="00B72C65">
      <w:pPr>
        <w:rPr>
          <w:lang w:val="en-GB"/>
        </w:rPr>
      </w:pPr>
      <w:r w:rsidRPr="001B7CA2">
        <w:rPr>
          <w:i/>
          <w:iCs/>
          <w:lang w:val="en-GB"/>
        </w:rPr>
        <w:t xml:space="preserve">32. The transparent allocation of state advertising (including any rules regulating the matter); other safeguards against state / political interference </w:t>
      </w:r>
    </w:p>
    <w:p w14:paraId="64BBE039" w14:textId="77777777" w:rsidR="00B72C65" w:rsidRPr="001B7CA2" w:rsidRDefault="00B72C65" w:rsidP="00B72C65">
      <w:pPr>
        <w:rPr>
          <w:lang w:val="en-GB"/>
        </w:rPr>
      </w:pPr>
      <w:r w:rsidRPr="001B7CA2">
        <w:rPr>
          <w:i/>
          <w:iCs/>
          <w:lang w:val="en-GB"/>
        </w:rPr>
        <w:t xml:space="preserve">33. Rules governing transparency of media ownership and public availability of media ownership information </w:t>
      </w:r>
    </w:p>
    <w:p w14:paraId="1695CBAB" w14:textId="77777777" w:rsidR="00B72C65" w:rsidRPr="001B7CA2" w:rsidRDefault="00B72C65" w:rsidP="00B72C65">
      <w:pPr>
        <w:rPr>
          <w:lang w:val="en-GB"/>
        </w:rPr>
      </w:pPr>
      <w:r w:rsidRPr="001B7CA2">
        <w:rPr>
          <w:b/>
          <w:bCs/>
          <w:i/>
          <w:iCs/>
          <w:lang w:val="en-GB"/>
        </w:rPr>
        <w:t xml:space="preserve">C. Framework for journalists' protection </w:t>
      </w:r>
    </w:p>
    <w:p w14:paraId="0BB31440" w14:textId="77777777" w:rsidR="00B72C65" w:rsidRPr="001B7CA2" w:rsidRDefault="00B72C65" w:rsidP="00B72C65">
      <w:pPr>
        <w:rPr>
          <w:lang w:val="en-GB"/>
        </w:rPr>
      </w:pPr>
      <w:r w:rsidRPr="001B7CA2">
        <w:rPr>
          <w:i/>
          <w:iCs/>
          <w:lang w:val="en-GB"/>
        </w:rPr>
        <w:t xml:space="preserve">34. Rules and practices guaranteeing journalist's independence and safety </w:t>
      </w:r>
    </w:p>
    <w:p w14:paraId="701C8668" w14:textId="77777777" w:rsidR="00B72C65" w:rsidRPr="001B7CA2" w:rsidRDefault="00B72C65" w:rsidP="00B72C65">
      <w:pPr>
        <w:rPr>
          <w:lang w:val="en-GB"/>
        </w:rPr>
      </w:pPr>
      <w:r w:rsidRPr="001B7CA2">
        <w:rPr>
          <w:i/>
          <w:iCs/>
          <w:lang w:val="en-GB"/>
        </w:rPr>
        <w:t xml:space="preserve">35. Law enforcement capacity to ensure journalists' safety and to investigate attacks on journalists </w:t>
      </w:r>
    </w:p>
    <w:p w14:paraId="115D359A" w14:textId="77777777" w:rsidR="00B72C65" w:rsidRPr="001B7CA2" w:rsidRDefault="00B72C65" w:rsidP="00B72C65">
      <w:pPr>
        <w:rPr>
          <w:lang w:val="en-GB"/>
        </w:rPr>
      </w:pPr>
      <w:r w:rsidRPr="001B7CA2">
        <w:rPr>
          <w:i/>
          <w:iCs/>
          <w:lang w:val="en-GB"/>
        </w:rPr>
        <w:t xml:space="preserve">36. Access to information and public documents </w:t>
      </w:r>
    </w:p>
    <w:p w14:paraId="3FDE0520" w14:textId="77777777" w:rsidR="00B72C65" w:rsidRPr="001B7CA2" w:rsidRDefault="00B72C65" w:rsidP="00B72C65">
      <w:pPr>
        <w:rPr>
          <w:lang w:val="en-GB"/>
        </w:rPr>
      </w:pPr>
      <w:r w:rsidRPr="001B7CA2">
        <w:rPr>
          <w:i/>
          <w:iCs/>
          <w:lang w:val="en-GB"/>
        </w:rPr>
        <w:t xml:space="preserve">37. Lawsuits and convictions against journalists (incl. defamation cases) and safeguards against abuse </w:t>
      </w:r>
    </w:p>
    <w:p w14:paraId="43776E99" w14:textId="6CCD9D91" w:rsidR="00B72C65" w:rsidRDefault="00B72C65" w:rsidP="00B72C65">
      <w:pPr>
        <w:rPr>
          <w:b/>
          <w:bCs/>
          <w:i/>
          <w:iCs/>
          <w:lang w:val="en-GB"/>
        </w:rPr>
      </w:pPr>
      <w:r w:rsidRPr="001B7CA2">
        <w:rPr>
          <w:b/>
          <w:bCs/>
          <w:i/>
          <w:iCs/>
          <w:lang w:val="en-GB"/>
        </w:rPr>
        <w:t xml:space="preserve">Other – please specify </w:t>
      </w:r>
    </w:p>
    <w:p w14:paraId="57DAB27B" w14:textId="77777777" w:rsidR="00B72C65" w:rsidRPr="001B7CA2" w:rsidRDefault="00B72C65" w:rsidP="00B72C65">
      <w:pPr>
        <w:rPr>
          <w:lang w:val="en-GB"/>
        </w:rPr>
      </w:pPr>
      <w:r w:rsidRPr="001B7CA2">
        <w:rPr>
          <w:b/>
          <w:bCs/>
          <w:lang w:val="en-GB"/>
        </w:rPr>
        <w:t xml:space="preserve">IV. Other institutional issues related to checks and balances </w:t>
      </w:r>
    </w:p>
    <w:p w14:paraId="7BFDFCC9" w14:textId="77777777" w:rsidR="00B72C65" w:rsidRPr="001B7CA2" w:rsidRDefault="00B72C65" w:rsidP="00B72C65">
      <w:pPr>
        <w:rPr>
          <w:lang w:val="en-GB"/>
        </w:rPr>
      </w:pPr>
      <w:r w:rsidRPr="001B7CA2">
        <w:rPr>
          <w:b/>
          <w:bCs/>
          <w:i/>
          <w:iCs/>
          <w:lang w:val="en-GB"/>
        </w:rPr>
        <w:t xml:space="preserve">A. The process for preparing and enacting laws </w:t>
      </w:r>
    </w:p>
    <w:p w14:paraId="59D79EA2" w14:textId="77777777" w:rsidR="00B72C65" w:rsidRPr="001B7CA2" w:rsidRDefault="00B72C65" w:rsidP="00B72C65">
      <w:pPr>
        <w:rPr>
          <w:lang w:val="en-GB"/>
        </w:rPr>
      </w:pPr>
      <w:r w:rsidRPr="001B7CA2">
        <w:rPr>
          <w:i/>
          <w:iCs/>
          <w:lang w:val="en-GB"/>
        </w:rPr>
        <w:t xml:space="preserve">38. Framework, policy and use of impact assessments, stakeholders'/public consultations (particularly consultation of judiciary on judicial reforms), and transparency and quality of the legislative process </w:t>
      </w:r>
    </w:p>
    <w:p w14:paraId="3FED912E" w14:textId="77777777" w:rsidR="00B72C65" w:rsidRDefault="00B72C65" w:rsidP="00B72C65">
      <w:pPr>
        <w:rPr>
          <w:i/>
          <w:iCs/>
          <w:lang w:val="en-GB"/>
        </w:rPr>
      </w:pPr>
      <w:r w:rsidRPr="001B7CA2">
        <w:rPr>
          <w:i/>
          <w:iCs/>
          <w:lang w:val="en-GB"/>
        </w:rPr>
        <w:t xml:space="preserve">39. Rules and use of fast-track procedures and emergency procedures (for example, the percentage of decisions adopted through emergency/urgent procedure compared to the total number of adopted decisions) </w:t>
      </w:r>
    </w:p>
    <w:p w14:paraId="2DF14A7E" w14:textId="113A2E14" w:rsidR="00B72C65" w:rsidRDefault="00B72C65" w:rsidP="00B72C65">
      <w:pPr>
        <w:jc w:val="both"/>
        <w:rPr>
          <w:rFonts w:cstheme="minorHAnsi"/>
          <w:iCs/>
          <w:lang w:val="en-GB"/>
        </w:rPr>
      </w:pPr>
      <w:r w:rsidRPr="002C15AB">
        <w:rPr>
          <w:rFonts w:cstheme="minorHAnsi"/>
          <w:bCs/>
          <w:lang w:val="en-GB"/>
        </w:rPr>
        <w:t>In her country visit report in 2019, the UN Special Rapporteur on the promotion and protection of human rights and fundamental freedoms while countering terrorism</w:t>
      </w:r>
      <w:r>
        <w:rPr>
          <w:rFonts w:cstheme="minorHAnsi"/>
          <w:bCs/>
          <w:lang w:val="en-GB"/>
        </w:rPr>
        <w:t xml:space="preserve"> </w:t>
      </w:r>
      <w:r w:rsidRPr="002C15AB">
        <w:rPr>
          <w:rFonts w:cstheme="minorHAnsi"/>
          <w:iCs/>
          <w:lang w:val="en-GB"/>
        </w:rPr>
        <w:t xml:space="preserve">commended Belgium’s deliberative and human rights-focused approach to the exercise of emergency powers </w:t>
      </w:r>
      <w:r w:rsidRPr="002C15AB">
        <w:rPr>
          <w:rFonts w:cstheme="minorHAnsi"/>
          <w:lang w:val="en-GB"/>
        </w:rPr>
        <w:t xml:space="preserve">in the aftermath of the events of 22 March 2016, </w:t>
      </w:r>
      <w:r w:rsidRPr="002C15AB">
        <w:rPr>
          <w:rFonts w:cstheme="minorHAnsi"/>
          <w:iCs/>
          <w:lang w:val="en-GB"/>
        </w:rPr>
        <w:t>as an example of national best practice</w:t>
      </w:r>
      <w:r w:rsidRPr="002C15AB">
        <w:rPr>
          <w:rFonts w:cstheme="minorHAnsi"/>
          <w:lang w:val="en-GB"/>
        </w:rPr>
        <w:t>. With serious deliberation on the exigencies of the situation, Belgium had determined that no declaration of a state of</w:t>
      </w:r>
      <w:r w:rsidRPr="002C15AB">
        <w:rPr>
          <w:rFonts w:cstheme="minorHAnsi"/>
          <w:iCs/>
          <w:lang w:val="en-GB"/>
        </w:rPr>
        <w:t xml:space="preserve"> emergency was necessary to address extant security challenges. Rather, the scope of existing law was engaged to its full potential and, where necessary, legislative augmentations followed through the mediated consideration of Parliament. These included extending the maximum duration of police detention of persons of interest from 24 to 48 hours and allowing home searches during night hours, changes that were within the scope of the State’s human rights obligations. In this regard, Belgium provided a model of deliberate and composed response to terrorism, which is often directed at provoking an extreme response </w:t>
      </w:r>
      <w:r w:rsidR="00E74171">
        <w:rPr>
          <w:rFonts w:cstheme="minorHAnsi"/>
          <w:iCs/>
          <w:lang w:val="en-GB"/>
        </w:rPr>
        <w:t xml:space="preserve">in order to undermine democracy </w:t>
      </w:r>
      <w:r>
        <w:rPr>
          <w:rFonts w:cstheme="minorHAnsi"/>
          <w:iCs/>
          <w:lang w:val="en-GB"/>
        </w:rPr>
        <w:t>(</w:t>
      </w:r>
      <w:hyperlink r:id="rId18" w:history="1">
        <w:r w:rsidRPr="00B72C65">
          <w:rPr>
            <w:rStyle w:val="Hyperlink"/>
            <w:rFonts w:cstheme="minorHAnsi"/>
            <w:iCs/>
            <w:lang w:val="en-GB"/>
          </w:rPr>
          <w:t>A/HRC/40/52/Add.5</w:t>
        </w:r>
      </w:hyperlink>
      <w:r>
        <w:rPr>
          <w:rFonts w:cstheme="minorHAnsi"/>
          <w:iCs/>
          <w:lang w:val="en-GB"/>
        </w:rPr>
        <w:t>, para 14).</w:t>
      </w:r>
    </w:p>
    <w:p w14:paraId="1630D9CF" w14:textId="77777777" w:rsidR="00B72C65" w:rsidRPr="001B7CA2" w:rsidRDefault="00B72C65" w:rsidP="00B72C65">
      <w:pPr>
        <w:rPr>
          <w:lang w:val="en-GB"/>
        </w:rPr>
      </w:pPr>
      <w:r w:rsidRPr="001B7CA2">
        <w:rPr>
          <w:i/>
          <w:iCs/>
          <w:lang w:val="en-GB"/>
        </w:rPr>
        <w:t xml:space="preserve">40. Regime for constitutional review of laws </w:t>
      </w:r>
    </w:p>
    <w:p w14:paraId="6B20A7D3" w14:textId="77777777" w:rsidR="00B72C65" w:rsidRPr="001B7CA2" w:rsidRDefault="00B72C65" w:rsidP="00B72C65">
      <w:pPr>
        <w:rPr>
          <w:lang w:val="en-GB"/>
        </w:rPr>
      </w:pPr>
      <w:r w:rsidRPr="001B7CA2">
        <w:rPr>
          <w:i/>
          <w:iCs/>
          <w:lang w:val="en-GB"/>
        </w:rPr>
        <w:t xml:space="preserve">41. COVID-19: provide update on significant developments with regard to emergency regimes in the context of the COVID-19 pandemic </w:t>
      </w:r>
    </w:p>
    <w:p w14:paraId="5ED32A62" w14:textId="77777777" w:rsidR="00B72C65" w:rsidRPr="001B7CA2" w:rsidRDefault="00B72C65" w:rsidP="00B72C65">
      <w:pPr>
        <w:rPr>
          <w:lang w:val="en-GB"/>
        </w:rPr>
      </w:pPr>
      <w:r w:rsidRPr="001B7CA2">
        <w:rPr>
          <w:lang w:val="en-GB"/>
        </w:rPr>
        <w:t xml:space="preserve">- </w:t>
      </w:r>
      <w:r w:rsidRPr="001B7CA2">
        <w:rPr>
          <w:i/>
          <w:iCs/>
          <w:lang w:val="en-GB"/>
        </w:rPr>
        <w:t xml:space="preserve">judicial review (including constitutional review) of emergency regimes and measures in the context of COVID-19 pandemic </w:t>
      </w:r>
    </w:p>
    <w:p w14:paraId="660DDE9F" w14:textId="77777777" w:rsidR="00B72C65" w:rsidRPr="001B7CA2" w:rsidRDefault="00B72C65" w:rsidP="00B72C65">
      <w:pPr>
        <w:rPr>
          <w:lang w:val="en-GB"/>
        </w:rPr>
      </w:pPr>
      <w:r w:rsidRPr="001B7CA2">
        <w:rPr>
          <w:lang w:val="en-GB"/>
        </w:rPr>
        <w:t xml:space="preserve">- </w:t>
      </w:r>
      <w:r w:rsidRPr="001B7CA2">
        <w:rPr>
          <w:i/>
          <w:iCs/>
          <w:lang w:val="en-GB"/>
        </w:rPr>
        <w:t xml:space="preserve">oversight by Parliament of emergency regimes and measures in the context of COVID-19 pandemic </w:t>
      </w:r>
    </w:p>
    <w:p w14:paraId="3D225E9E" w14:textId="77777777" w:rsidR="00B72C65" w:rsidRPr="001B7CA2" w:rsidRDefault="00B72C65" w:rsidP="00B72C65">
      <w:pPr>
        <w:rPr>
          <w:lang w:val="en-GB"/>
        </w:rPr>
      </w:pPr>
      <w:r w:rsidRPr="001B7CA2">
        <w:rPr>
          <w:lang w:val="en-GB"/>
        </w:rPr>
        <w:t xml:space="preserve">- </w:t>
      </w:r>
      <w:r w:rsidRPr="001B7CA2">
        <w:rPr>
          <w:i/>
          <w:iCs/>
          <w:lang w:val="en-GB"/>
        </w:rPr>
        <w:t xml:space="preserve">measures taken to ensure the continued activity of Parliament (including possible best practices) </w:t>
      </w:r>
    </w:p>
    <w:p w14:paraId="6A94999B" w14:textId="77777777" w:rsidR="00B72C65" w:rsidRPr="001B7CA2" w:rsidRDefault="00B72C65" w:rsidP="00B72C65">
      <w:pPr>
        <w:rPr>
          <w:lang w:val="en-GB"/>
        </w:rPr>
      </w:pPr>
      <w:r w:rsidRPr="001B7CA2">
        <w:rPr>
          <w:b/>
          <w:bCs/>
          <w:i/>
          <w:iCs/>
          <w:lang w:val="en-GB"/>
        </w:rPr>
        <w:t xml:space="preserve">B. Independent authorities </w:t>
      </w:r>
    </w:p>
    <w:p w14:paraId="61D5B0B7" w14:textId="77777777" w:rsidR="00B72C65" w:rsidRPr="001B7CA2" w:rsidRDefault="00B72C65" w:rsidP="00B72C65">
      <w:pPr>
        <w:rPr>
          <w:i/>
          <w:iCs/>
          <w:lang w:val="en-GB"/>
        </w:rPr>
      </w:pPr>
      <w:r w:rsidRPr="001B7CA2">
        <w:rPr>
          <w:i/>
          <w:iCs/>
          <w:lang w:val="en-GB"/>
        </w:rPr>
        <w:t>42. Independence, capacity and powers of national human rights institutions (‘NHRIs’), of ombudsman institutions if different from NHRIs, of equality bodies if different from NHRIs and of supreme audit institutions</w:t>
      </w:r>
    </w:p>
    <w:p w14:paraId="638C3DEF" w14:textId="527EF816" w:rsidR="00B72C65" w:rsidRDefault="00B72C65" w:rsidP="00B72C65">
      <w:pPr>
        <w:jc w:val="both"/>
        <w:rPr>
          <w:rFonts w:eastAsia="Calibri" w:cstheme="minorHAnsi"/>
          <w:lang w:val="en-GB"/>
        </w:rPr>
      </w:pPr>
      <w:r w:rsidRPr="002C15AB">
        <w:rPr>
          <w:bCs/>
          <w:iCs/>
          <w:lang w:val="en-GB"/>
        </w:rPr>
        <w:t xml:space="preserve">In its 2019 </w:t>
      </w:r>
      <w:r w:rsidR="003702C2">
        <w:rPr>
          <w:bCs/>
          <w:iCs/>
          <w:lang w:val="en-GB"/>
        </w:rPr>
        <w:t>c</w:t>
      </w:r>
      <w:r w:rsidRPr="002C15AB">
        <w:rPr>
          <w:bCs/>
          <w:iCs/>
          <w:lang w:val="en-GB"/>
        </w:rPr>
        <w:t xml:space="preserve">oncluding </w:t>
      </w:r>
      <w:r w:rsidR="003702C2">
        <w:rPr>
          <w:bCs/>
          <w:iCs/>
          <w:lang w:val="en-GB"/>
        </w:rPr>
        <w:t>o</w:t>
      </w:r>
      <w:r w:rsidRPr="002C15AB">
        <w:rPr>
          <w:bCs/>
          <w:iCs/>
          <w:lang w:val="en-GB"/>
        </w:rPr>
        <w:t>bservations, the UN Human Rights Committee welcomed the</w:t>
      </w:r>
      <w:r w:rsidRPr="002C15AB">
        <w:rPr>
          <w:iCs/>
          <w:lang w:val="en-GB"/>
        </w:rPr>
        <w:t xml:space="preserve"> law of 12 May </w:t>
      </w:r>
      <w:r w:rsidRPr="002C15AB">
        <w:rPr>
          <w:rFonts w:eastAsia="Calibri" w:cstheme="minorHAnsi"/>
          <w:lang w:val="en-GB"/>
        </w:rPr>
        <w:t xml:space="preserve">2019 establishing a Federal Institute for the Protection and Promotion of Human Rights. It noted however the institution was not yet operational. The Committee also noted there were several sectoral human rights institutions within the State party with various mandates, including the </w:t>
      </w:r>
      <w:proofErr w:type="spellStart"/>
      <w:r w:rsidRPr="002C15AB">
        <w:rPr>
          <w:rFonts w:eastAsia="Calibri" w:cstheme="minorHAnsi"/>
          <w:lang w:val="en-GB"/>
        </w:rPr>
        <w:t>Interfederal</w:t>
      </w:r>
      <w:proofErr w:type="spellEnd"/>
      <w:r w:rsidRPr="002C15AB">
        <w:rPr>
          <w:rFonts w:eastAsia="Calibri" w:cstheme="minorHAnsi"/>
          <w:lang w:val="en-GB"/>
        </w:rPr>
        <w:t xml:space="preserve"> Centre for Equal Opportunities (</w:t>
      </w:r>
      <w:proofErr w:type="spellStart"/>
      <w:r w:rsidRPr="002C15AB">
        <w:rPr>
          <w:rFonts w:eastAsia="Calibri" w:cstheme="minorHAnsi"/>
          <w:lang w:val="en-GB"/>
        </w:rPr>
        <w:t>Unia</w:t>
      </w:r>
      <w:proofErr w:type="spellEnd"/>
      <w:r w:rsidRPr="002C15AB">
        <w:rPr>
          <w:rFonts w:eastAsia="Calibri" w:cstheme="minorHAnsi"/>
          <w:lang w:val="en-GB"/>
        </w:rPr>
        <w:t xml:space="preserve">), which has been granted B status by the Accreditation Subcommittee of the Global Alliance of National Human Rights Institutions. However, the Committee was unclear how these institutions will </w:t>
      </w:r>
      <w:r w:rsidRPr="001C79A2">
        <w:rPr>
          <w:rFonts w:eastAsia="Calibri" w:cstheme="minorHAnsi"/>
          <w:lang w:val="en-GB"/>
        </w:rPr>
        <w:t>coordinate with the new federal institute, which is essential for the effective implementation of its mandate in all areas of human rights within the State party, including it</w:t>
      </w:r>
      <w:r w:rsidR="00E74171">
        <w:rPr>
          <w:rFonts w:eastAsia="Calibri" w:cstheme="minorHAnsi"/>
          <w:lang w:val="en-GB"/>
        </w:rPr>
        <w:t>s ability to receive complaints (</w:t>
      </w:r>
      <w:hyperlink r:id="rId19" w:history="1">
        <w:r w:rsidRPr="00B72C65">
          <w:rPr>
            <w:rStyle w:val="Hyperlink"/>
            <w:rFonts w:eastAsia="Calibri" w:cstheme="minorHAnsi"/>
            <w:lang w:val="en-GB"/>
          </w:rPr>
          <w:t>CCPR/C/BEL/CO/6</w:t>
        </w:r>
      </w:hyperlink>
      <w:r>
        <w:rPr>
          <w:rFonts w:eastAsia="Calibri" w:cstheme="minorHAnsi"/>
          <w:lang w:val="en-GB"/>
        </w:rPr>
        <w:t>, para 9).</w:t>
      </w:r>
    </w:p>
    <w:p w14:paraId="3D7F2BAD" w14:textId="116CB4E6" w:rsidR="00B72C65" w:rsidRPr="001C79A2" w:rsidRDefault="00B72C65" w:rsidP="00B72C65">
      <w:pPr>
        <w:pStyle w:val="NormalWeb"/>
        <w:jc w:val="both"/>
        <w:rPr>
          <w:rFonts w:asciiTheme="minorHAnsi" w:eastAsia="Calibri" w:hAnsiTheme="minorHAnsi" w:cstheme="minorHAnsi"/>
          <w:sz w:val="22"/>
          <w:szCs w:val="22"/>
        </w:rPr>
      </w:pPr>
      <w:r w:rsidRPr="001C79A2">
        <w:rPr>
          <w:rFonts w:asciiTheme="minorHAnsi" w:eastAsia="Calibri" w:hAnsiTheme="minorHAnsi" w:cstheme="minorHAnsi"/>
          <w:sz w:val="22"/>
          <w:szCs w:val="22"/>
          <w:lang w:val="en-GB"/>
        </w:rPr>
        <w:t xml:space="preserve">The same concerns were reiterated by the UN Committee on Economic, Social and Cultural Rights in its </w:t>
      </w:r>
      <w:r w:rsidR="003702C2">
        <w:rPr>
          <w:rFonts w:asciiTheme="minorHAnsi" w:eastAsia="Calibri" w:hAnsiTheme="minorHAnsi" w:cstheme="minorHAnsi"/>
          <w:sz w:val="22"/>
          <w:szCs w:val="22"/>
          <w:lang w:val="en-GB"/>
        </w:rPr>
        <w:t xml:space="preserve">concluding observations </w:t>
      </w:r>
      <w:r w:rsidRPr="001C79A2">
        <w:rPr>
          <w:rFonts w:asciiTheme="minorHAnsi" w:eastAsia="Calibri" w:hAnsiTheme="minorHAnsi" w:cstheme="minorHAnsi"/>
          <w:sz w:val="22"/>
          <w:szCs w:val="22"/>
          <w:lang w:val="en-GB"/>
        </w:rPr>
        <w:t xml:space="preserve">in 2020. The Committee </w:t>
      </w:r>
      <w:r w:rsidRPr="001C79A2">
        <w:rPr>
          <w:rFonts w:asciiTheme="minorHAnsi" w:hAnsiTheme="minorHAnsi" w:cstheme="minorHAnsi"/>
          <w:sz w:val="22"/>
          <w:szCs w:val="22"/>
        </w:rPr>
        <w:t>expressed concerns that the institution currently has a mandate only at the federal level, that it lacks competence to receive individual complaints and that it has not entered into a cooperation agreement with the existing national human rights institutio</w:t>
      </w:r>
      <w:r w:rsidR="00E74171">
        <w:rPr>
          <w:rFonts w:asciiTheme="minorHAnsi" w:hAnsiTheme="minorHAnsi" w:cstheme="minorHAnsi"/>
          <w:sz w:val="22"/>
          <w:szCs w:val="22"/>
        </w:rPr>
        <w:t xml:space="preserve">ns, such as </w:t>
      </w:r>
      <w:proofErr w:type="spellStart"/>
      <w:r w:rsidR="00E74171">
        <w:rPr>
          <w:rFonts w:asciiTheme="minorHAnsi" w:hAnsiTheme="minorHAnsi" w:cstheme="minorHAnsi"/>
          <w:sz w:val="22"/>
          <w:szCs w:val="22"/>
        </w:rPr>
        <w:t>Unia</w:t>
      </w:r>
      <w:proofErr w:type="spellEnd"/>
      <w:r w:rsidR="00E74171">
        <w:rPr>
          <w:rFonts w:asciiTheme="minorHAnsi" w:hAnsiTheme="minorHAnsi" w:cstheme="minorHAnsi"/>
          <w:sz w:val="22"/>
          <w:szCs w:val="22"/>
        </w:rPr>
        <w:t xml:space="preserve"> (</w:t>
      </w:r>
      <w:hyperlink r:id="rId20" w:history="1">
        <w:r w:rsidRPr="00E74171">
          <w:rPr>
            <w:rStyle w:val="Hyperlink"/>
            <w:rFonts w:asciiTheme="minorHAnsi" w:hAnsiTheme="minorHAnsi" w:cstheme="minorHAnsi"/>
            <w:sz w:val="22"/>
            <w:szCs w:val="22"/>
          </w:rPr>
          <w:t>E/C.12/BEL/CO/5</w:t>
        </w:r>
      </w:hyperlink>
      <w:r w:rsidRPr="001C79A2">
        <w:rPr>
          <w:rFonts w:asciiTheme="minorHAnsi" w:hAnsiTheme="minorHAnsi" w:cstheme="minorHAnsi"/>
          <w:sz w:val="22"/>
          <w:szCs w:val="22"/>
        </w:rPr>
        <w:t xml:space="preserve">, para 7). </w:t>
      </w:r>
    </w:p>
    <w:p w14:paraId="52BB628A" w14:textId="25E98628" w:rsidR="00B72C65" w:rsidRDefault="00B72C65" w:rsidP="00B72C65">
      <w:pPr>
        <w:jc w:val="both"/>
        <w:rPr>
          <w:rFonts w:cstheme="minorHAnsi"/>
          <w:lang w:val="en-US"/>
        </w:rPr>
      </w:pPr>
      <w:bookmarkStart w:id="1" w:name="_Hlk63700444"/>
      <w:r w:rsidRPr="008628EF">
        <w:rPr>
          <w:rFonts w:cstheme="minorHAnsi"/>
          <w:lang w:val="en-GB"/>
        </w:rPr>
        <w:t xml:space="preserve">In its </w:t>
      </w:r>
      <w:r w:rsidR="003702C2">
        <w:rPr>
          <w:rFonts w:cstheme="minorHAnsi"/>
          <w:lang w:val="en-GB"/>
        </w:rPr>
        <w:t xml:space="preserve">concluding observations </w:t>
      </w:r>
      <w:r w:rsidRPr="008628EF">
        <w:rPr>
          <w:rFonts w:cstheme="minorHAnsi"/>
          <w:lang w:val="en-GB"/>
        </w:rPr>
        <w:t>in 2019, t</w:t>
      </w:r>
      <w:r w:rsidRPr="008628EF">
        <w:rPr>
          <w:rFonts w:cstheme="minorHAnsi"/>
          <w:lang w:val="en-US"/>
        </w:rPr>
        <w:t xml:space="preserve">he UN Human Rights Committee noted the disparity between, on the one hand, the number of complaints alleging ill-treatment by police officers filed with the Standing Committee for Police Monitoring and, on the other hand, the number of judicial inquiries conducted by the Police Investigation Service for such acts and of convictions and disciplinary penalties handed down. The Committee was also concerned about persistent misgivings regarding the independence of the Standing Committee. The </w:t>
      </w:r>
      <w:r>
        <w:rPr>
          <w:rFonts w:cstheme="minorHAnsi"/>
          <w:lang w:val="en-US"/>
        </w:rPr>
        <w:t>Committee</w:t>
      </w:r>
      <w:r w:rsidRPr="008628EF">
        <w:rPr>
          <w:rFonts w:cstheme="minorHAnsi"/>
          <w:lang w:val="en-US"/>
        </w:rPr>
        <w:t xml:space="preserve"> recommended Belgium should ensure thorough and impartial investigations into all allegations of ill-treatment filed with the Standing Committee for Police Monitoring and take additional steps to guarant</w:t>
      </w:r>
      <w:r w:rsidR="00E74171">
        <w:rPr>
          <w:rFonts w:cstheme="minorHAnsi"/>
          <w:lang w:val="en-US"/>
        </w:rPr>
        <w:t xml:space="preserve">ee the Committee’s independence </w:t>
      </w:r>
      <w:r w:rsidRPr="001C79A2">
        <w:rPr>
          <w:rFonts w:eastAsia="Calibri" w:cstheme="minorHAnsi"/>
          <w:lang w:val="en-GB"/>
        </w:rPr>
        <w:t>(</w:t>
      </w:r>
      <w:hyperlink r:id="rId21" w:history="1">
        <w:r w:rsidRPr="001C79A2">
          <w:rPr>
            <w:rStyle w:val="Hyperlink"/>
            <w:rFonts w:eastAsia="Calibri" w:cstheme="minorHAnsi"/>
            <w:lang w:val="en-GB"/>
          </w:rPr>
          <w:t>CCPR/C/BEL/CO/6</w:t>
        </w:r>
      </w:hyperlink>
      <w:r>
        <w:rPr>
          <w:rFonts w:eastAsia="Calibri" w:cstheme="minorHAnsi"/>
          <w:lang w:val="en-GB"/>
        </w:rPr>
        <w:t>, para</w:t>
      </w:r>
      <w:r w:rsidR="003702C2">
        <w:rPr>
          <w:rFonts w:eastAsia="Calibri" w:cstheme="minorHAnsi"/>
          <w:lang w:val="en-GB"/>
        </w:rPr>
        <w:t>s</w:t>
      </w:r>
      <w:r>
        <w:rPr>
          <w:rFonts w:eastAsia="Calibri" w:cstheme="minorHAnsi"/>
          <w:lang w:val="en-GB"/>
        </w:rPr>
        <w:t xml:space="preserve"> 26, 27). </w:t>
      </w:r>
    </w:p>
    <w:bookmarkEnd w:id="1"/>
    <w:p w14:paraId="2B1E1E5A" w14:textId="687DDFC6" w:rsidR="00B72C65" w:rsidRDefault="00B72C65" w:rsidP="00B72C65">
      <w:pPr>
        <w:jc w:val="both"/>
        <w:rPr>
          <w:rFonts w:eastAsia="Calibri" w:cstheme="minorHAnsi"/>
          <w:lang w:val="en-GB"/>
        </w:rPr>
      </w:pPr>
      <w:r w:rsidRPr="001C79A2">
        <w:rPr>
          <w:rFonts w:eastAsia="Calibri" w:cstheme="minorHAnsi"/>
          <w:bCs/>
          <w:lang w:val="en-US"/>
        </w:rPr>
        <w:t>In her country visit report in 2019, t</w:t>
      </w:r>
      <w:r w:rsidRPr="001C79A2">
        <w:rPr>
          <w:rFonts w:eastAsia="Calibri" w:cstheme="minorHAnsi"/>
          <w:bCs/>
          <w:lang w:val="en-GB"/>
        </w:rPr>
        <w:t xml:space="preserve">he UN Special Rapporteur </w:t>
      </w:r>
      <w:r w:rsidRPr="001C79A2">
        <w:rPr>
          <w:rFonts w:eastAsia="Calibri" w:cstheme="minorHAnsi"/>
          <w:bCs/>
          <w:lang w:val="en-US"/>
        </w:rPr>
        <w:t>on the promotion and protection of human rights and fundamental freedoms while countering terrorism</w:t>
      </w:r>
      <w:r w:rsidRPr="002C15AB">
        <w:rPr>
          <w:rFonts w:eastAsia="Calibri" w:cstheme="minorHAnsi"/>
          <w:lang w:val="en-US"/>
        </w:rPr>
        <w:t xml:space="preserve"> </w:t>
      </w:r>
      <w:r w:rsidRPr="002C15AB">
        <w:rPr>
          <w:rFonts w:eastAsia="Calibri" w:cstheme="minorHAnsi"/>
          <w:lang w:val="en-GB"/>
        </w:rPr>
        <w:t xml:space="preserve">noted that Belgium has signed but not ratified the Optional Protocol to the Convention against Torture and Other Cruel, Inhuman or Degrading Treatment or Punishment. The Special Rapporteur recommended that Belgium ratify the Optional </w:t>
      </w:r>
      <w:r>
        <w:rPr>
          <w:rFonts w:eastAsia="Calibri" w:cstheme="minorHAnsi"/>
          <w:lang w:val="en-GB"/>
        </w:rPr>
        <w:t xml:space="preserve">Protocol without delay, </w:t>
      </w:r>
      <w:r w:rsidRPr="002C15AB">
        <w:rPr>
          <w:rFonts w:eastAsia="Calibri" w:cstheme="minorHAnsi"/>
          <w:lang w:val="en-GB"/>
        </w:rPr>
        <w:t xml:space="preserve">and set up an effective </w:t>
      </w:r>
      <w:r>
        <w:rPr>
          <w:rFonts w:eastAsia="Calibri" w:cstheme="minorHAnsi"/>
          <w:lang w:val="en-GB"/>
        </w:rPr>
        <w:t>independent N</w:t>
      </w:r>
      <w:r w:rsidRPr="002C15AB">
        <w:rPr>
          <w:rFonts w:eastAsia="Calibri" w:cstheme="minorHAnsi"/>
          <w:lang w:val="en-GB"/>
        </w:rPr>
        <w:t xml:space="preserve">ational </w:t>
      </w:r>
      <w:r>
        <w:rPr>
          <w:rFonts w:eastAsia="Calibri" w:cstheme="minorHAnsi"/>
          <w:lang w:val="en-GB"/>
        </w:rPr>
        <w:t>P</w:t>
      </w:r>
      <w:r w:rsidRPr="002C15AB">
        <w:rPr>
          <w:rFonts w:eastAsia="Calibri" w:cstheme="minorHAnsi"/>
          <w:lang w:val="en-GB"/>
        </w:rPr>
        <w:t xml:space="preserve">reventive </w:t>
      </w:r>
      <w:r>
        <w:rPr>
          <w:rFonts w:eastAsia="Calibri" w:cstheme="minorHAnsi"/>
          <w:lang w:val="en-GB"/>
        </w:rPr>
        <w:t>M</w:t>
      </w:r>
      <w:r w:rsidR="00E74171">
        <w:rPr>
          <w:rFonts w:eastAsia="Calibri" w:cstheme="minorHAnsi"/>
          <w:lang w:val="en-GB"/>
        </w:rPr>
        <w:t>echanism (NPM) (</w:t>
      </w:r>
      <w:hyperlink r:id="rId22" w:history="1">
        <w:r w:rsidRPr="00B72C65">
          <w:rPr>
            <w:rStyle w:val="Hyperlink"/>
            <w:rFonts w:eastAsia="Calibri" w:cstheme="minorHAnsi"/>
            <w:lang w:val="en-GB"/>
          </w:rPr>
          <w:t>A/HRC/40/52/Add.5</w:t>
        </w:r>
      </w:hyperlink>
      <w:r>
        <w:rPr>
          <w:rFonts w:eastAsia="Calibri" w:cstheme="minorHAnsi"/>
          <w:lang w:val="en-GB"/>
        </w:rPr>
        <w:t>, para 45)</w:t>
      </w:r>
      <w:r w:rsidR="00E74171">
        <w:rPr>
          <w:rFonts w:eastAsia="Calibri" w:cstheme="minorHAnsi"/>
          <w:lang w:val="en-GB"/>
        </w:rPr>
        <w:t>.</w:t>
      </w:r>
    </w:p>
    <w:p w14:paraId="6575578E" w14:textId="4545294E" w:rsidR="00005148" w:rsidRDefault="00005148" w:rsidP="00005148">
      <w:pPr>
        <w:jc w:val="both"/>
        <w:rPr>
          <w:rFonts w:eastAsia="Calibri" w:cstheme="minorHAnsi"/>
          <w:lang w:val="en-GB"/>
        </w:rPr>
      </w:pPr>
      <w:r>
        <w:rPr>
          <w:bCs/>
          <w:lang w:val="en-US"/>
        </w:rPr>
        <w:t xml:space="preserve">In the report on its 2019 country visit to Belgium, the UN </w:t>
      </w:r>
      <w:r w:rsidRPr="00FC416C">
        <w:rPr>
          <w:bCs/>
          <w:lang w:val="en-US"/>
        </w:rPr>
        <w:t>Working Group of Experts on People of African Descent</w:t>
      </w:r>
      <w:r>
        <w:rPr>
          <w:bCs/>
          <w:lang w:val="en-US"/>
        </w:rPr>
        <w:t xml:space="preserve"> noted that the country has no A status NHRI. It </w:t>
      </w:r>
      <w:r w:rsidR="00F003BC">
        <w:rPr>
          <w:bCs/>
          <w:lang w:val="en-US"/>
        </w:rPr>
        <w:t xml:space="preserve">stated that </w:t>
      </w:r>
      <w:r>
        <w:rPr>
          <w:bCs/>
          <w:lang w:val="en-US"/>
        </w:rPr>
        <w:t xml:space="preserve">the lack of an A-status NHRI </w:t>
      </w:r>
      <w:r w:rsidRPr="00005148">
        <w:rPr>
          <w:bCs/>
          <w:lang w:val="en-US"/>
        </w:rPr>
        <w:t>must</w:t>
      </w:r>
      <w:r w:rsidR="00F003BC">
        <w:rPr>
          <w:bCs/>
          <w:lang w:val="en-US"/>
        </w:rPr>
        <w:t xml:space="preserve"> </w:t>
      </w:r>
      <w:r w:rsidRPr="00005148">
        <w:rPr>
          <w:bCs/>
          <w:lang w:val="en-US"/>
        </w:rPr>
        <w:t>be</w:t>
      </w:r>
      <w:r w:rsidR="00F003BC">
        <w:rPr>
          <w:bCs/>
          <w:lang w:val="en-US"/>
        </w:rPr>
        <w:t xml:space="preserve"> </w:t>
      </w:r>
      <w:r w:rsidR="00E74171">
        <w:rPr>
          <w:bCs/>
          <w:lang w:val="en-US"/>
        </w:rPr>
        <w:t xml:space="preserve">addressed </w:t>
      </w:r>
      <w:r>
        <w:rPr>
          <w:bCs/>
          <w:lang w:val="en-US"/>
        </w:rPr>
        <w:t>(</w:t>
      </w:r>
      <w:hyperlink r:id="rId23" w:history="1">
        <w:r w:rsidRPr="00E74171">
          <w:rPr>
            <w:rStyle w:val="Hyperlink"/>
            <w:bCs/>
            <w:lang w:val="en-US"/>
          </w:rPr>
          <w:t>A/HRC/42/59/Add.1</w:t>
        </w:r>
      </w:hyperlink>
      <w:r>
        <w:rPr>
          <w:bCs/>
          <w:lang w:val="en-US"/>
        </w:rPr>
        <w:t>, para 18, 73).</w:t>
      </w:r>
    </w:p>
    <w:p w14:paraId="17CFDFEC" w14:textId="77777777" w:rsidR="00B72C65" w:rsidRPr="001B7CA2" w:rsidRDefault="00B72C65" w:rsidP="00B72C65">
      <w:pPr>
        <w:rPr>
          <w:lang w:val="en-GB"/>
        </w:rPr>
      </w:pPr>
      <w:r w:rsidRPr="001B7CA2">
        <w:rPr>
          <w:b/>
          <w:bCs/>
          <w:i/>
          <w:iCs/>
          <w:lang w:val="en-GB"/>
        </w:rPr>
        <w:t xml:space="preserve">C. Accessibility and judicial review of administrative decisions </w:t>
      </w:r>
    </w:p>
    <w:p w14:paraId="1CCE30E9" w14:textId="77777777" w:rsidR="00B72C65" w:rsidRPr="001B7CA2" w:rsidRDefault="00B72C65" w:rsidP="00B72C65">
      <w:pPr>
        <w:rPr>
          <w:lang w:val="en-GB"/>
        </w:rPr>
      </w:pPr>
      <w:r w:rsidRPr="001B7CA2">
        <w:rPr>
          <w:i/>
          <w:iCs/>
          <w:lang w:val="en-GB"/>
        </w:rPr>
        <w:t xml:space="preserve">43. Transparency of administrative decisions and sanctions (incl. their publication and rules on collection of related data) and judicial review (incl. scope, suspensive effect) </w:t>
      </w:r>
    </w:p>
    <w:p w14:paraId="2B13206E" w14:textId="04C6B3E8" w:rsidR="00B72C65" w:rsidRDefault="00B72C65" w:rsidP="00B72C65">
      <w:pPr>
        <w:jc w:val="both"/>
        <w:rPr>
          <w:rFonts w:cstheme="minorHAnsi"/>
          <w:lang w:val="en-US"/>
        </w:rPr>
      </w:pPr>
      <w:r w:rsidRPr="001C79A2">
        <w:rPr>
          <w:rFonts w:eastAsia="Calibri" w:cstheme="minorHAnsi"/>
          <w:bCs/>
          <w:lang w:val="en-US"/>
        </w:rPr>
        <w:t>In her country visit report in 2019, t</w:t>
      </w:r>
      <w:r w:rsidRPr="001C79A2">
        <w:rPr>
          <w:rFonts w:eastAsia="Calibri" w:cstheme="minorHAnsi"/>
          <w:bCs/>
          <w:lang w:val="en-GB"/>
        </w:rPr>
        <w:t xml:space="preserve">he UN Special Rapporteur </w:t>
      </w:r>
      <w:r w:rsidRPr="001C79A2">
        <w:rPr>
          <w:rFonts w:eastAsia="Calibri" w:cstheme="minorHAnsi"/>
          <w:bCs/>
          <w:lang w:val="en-US"/>
        </w:rPr>
        <w:t>on the promotion and protection of human rights and fundamental freedoms while countering terrorism</w:t>
      </w:r>
      <w:r w:rsidRPr="002C15AB">
        <w:rPr>
          <w:rFonts w:eastAsia="Calibri" w:cstheme="minorHAnsi"/>
          <w:lang w:val="en-US"/>
        </w:rPr>
        <w:t xml:space="preserve"> </w:t>
      </w:r>
      <w:r w:rsidRPr="001C7CCF">
        <w:rPr>
          <w:rFonts w:cstheme="minorHAnsi"/>
          <w:lang w:val="en-US"/>
        </w:rPr>
        <w:t>encouraged Belgium to ensure independent, effective and comprehensive oversight of powers related to data gathering, processing, sharing and retention in the counter-terrorism context</w:t>
      </w:r>
      <w:r>
        <w:rPr>
          <w:rFonts w:cstheme="minorHAnsi"/>
          <w:lang w:val="en-US"/>
        </w:rPr>
        <w:t xml:space="preserve">, </w:t>
      </w:r>
      <w:r w:rsidRPr="001C7CCF">
        <w:rPr>
          <w:rFonts w:cstheme="minorHAnsi"/>
          <w:lang w:val="en-US"/>
        </w:rPr>
        <w:t xml:space="preserve">and ensure that relevant entities are adequately resourced. The Special Rapporteur particularly recommended independent judicial representation in the composition of the various bodies tasked with such oversight. She emphasized the importance of independent oversight covering all stages of </w:t>
      </w:r>
      <w:r>
        <w:rPr>
          <w:rFonts w:cstheme="minorHAnsi"/>
          <w:lang w:val="en-US"/>
        </w:rPr>
        <w:t xml:space="preserve">data </w:t>
      </w:r>
      <w:r w:rsidRPr="001C7CCF">
        <w:rPr>
          <w:rFonts w:cstheme="minorHAnsi"/>
          <w:lang w:val="en-US"/>
        </w:rPr>
        <w:t xml:space="preserve">management and sustained transparency through the publication of annual reports. The Special Rapporteur further affirmed that, while progress had been made, further improvements were required to ensure that adequate procedural safeguards and oversight of interception of communications and surveillance be in place. In particular, prior authorization – best ensured with a judicial element – and ongoing independent oversight should be the norm, and the right to an effective remedy must be meaningfully incorporated in the context </w:t>
      </w:r>
      <w:r w:rsidR="00E74171">
        <w:rPr>
          <w:rFonts w:cstheme="minorHAnsi"/>
          <w:lang w:val="en-US"/>
        </w:rPr>
        <w:t>of secret surveillance measures (</w:t>
      </w:r>
      <w:hyperlink r:id="rId24" w:history="1">
        <w:r w:rsidRPr="00B72C65">
          <w:rPr>
            <w:rStyle w:val="Hyperlink"/>
            <w:rFonts w:cstheme="minorHAnsi"/>
            <w:lang w:val="en-US"/>
          </w:rPr>
          <w:t>A/HRC/40/52/Add.5</w:t>
        </w:r>
      </w:hyperlink>
      <w:r>
        <w:rPr>
          <w:rFonts w:cstheme="minorHAnsi"/>
          <w:lang w:val="en-US"/>
        </w:rPr>
        <w:t>, para 59, 60).</w:t>
      </w:r>
    </w:p>
    <w:p w14:paraId="6564D6C6" w14:textId="77777777" w:rsidR="00B72C65" w:rsidRPr="001B7CA2" w:rsidRDefault="00B72C65" w:rsidP="00B72C65">
      <w:pPr>
        <w:rPr>
          <w:lang w:val="en-GB"/>
        </w:rPr>
      </w:pPr>
      <w:r w:rsidRPr="001B7CA2">
        <w:rPr>
          <w:i/>
          <w:iCs/>
          <w:lang w:val="en-GB"/>
        </w:rPr>
        <w:t xml:space="preserve">44. Implementation by the public administration and State institutions of final court decisions </w:t>
      </w:r>
    </w:p>
    <w:p w14:paraId="68905467" w14:textId="77777777" w:rsidR="00B72C65" w:rsidRPr="001B7CA2" w:rsidRDefault="00B72C65" w:rsidP="00B72C65">
      <w:pPr>
        <w:rPr>
          <w:lang w:val="en-GB"/>
        </w:rPr>
      </w:pPr>
      <w:r w:rsidRPr="001B7CA2">
        <w:rPr>
          <w:b/>
          <w:bCs/>
          <w:i/>
          <w:iCs/>
          <w:lang w:val="en-GB"/>
        </w:rPr>
        <w:t xml:space="preserve">D. The enabling framework for civil society </w:t>
      </w:r>
    </w:p>
    <w:p w14:paraId="0402D188" w14:textId="75DC1263" w:rsidR="00B72C65" w:rsidRDefault="00B72C65" w:rsidP="00B72C65">
      <w:pPr>
        <w:rPr>
          <w:i/>
          <w:iCs/>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16BA5E12" w14:textId="33AFB3A6" w:rsidR="006D2D56" w:rsidRPr="006D2D56" w:rsidRDefault="006D2D56" w:rsidP="006D2D56">
      <w:pPr>
        <w:jc w:val="both"/>
        <w:rPr>
          <w:rFonts w:eastAsia="Calibri" w:cstheme="minorHAnsi"/>
          <w:lang w:val="en-GB"/>
        </w:rPr>
      </w:pPr>
      <w:r>
        <w:rPr>
          <w:bCs/>
          <w:lang w:val="en-US"/>
        </w:rPr>
        <w:t xml:space="preserve">In the report on its 2019 country visit to Belgium, the UN </w:t>
      </w:r>
      <w:r w:rsidRPr="00FC416C">
        <w:rPr>
          <w:bCs/>
          <w:lang w:val="en-US"/>
        </w:rPr>
        <w:t>Working Group of Experts on People of African Descent</w:t>
      </w:r>
      <w:r>
        <w:rPr>
          <w:bCs/>
          <w:lang w:val="en-US"/>
        </w:rPr>
        <w:t xml:space="preserve"> recommended the Government to ensure funding for anti-racism associations run by people of African descent to enable them to be partners in combatting racism, and to provide adequate funding with and involve civil society organizations representing people of African descent when framing important legislation concerning them </w:t>
      </w:r>
      <w:r w:rsidRPr="006D2D56">
        <w:rPr>
          <w:bCs/>
          <w:lang w:val="en-GB"/>
        </w:rPr>
        <w:t>(</w:t>
      </w:r>
      <w:hyperlink r:id="rId25" w:history="1">
        <w:r w:rsidRPr="00E74171">
          <w:rPr>
            <w:rStyle w:val="Hyperlink"/>
            <w:bCs/>
            <w:lang w:val="en-GB"/>
          </w:rPr>
          <w:t>A/HRC/42/59/Add.1</w:t>
        </w:r>
      </w:hyperlink>
      <w:r w:rsidRPr="006D2D56">
        <w:rPr>
          <w:bCs/>
          <w:lang w:val="en-GB"/>
        </w:rPr>
        <w:t>, para 75(h), (gg)).</w:t>
      </w:r>
    </w:p>
    <w:p w14:paraId="7B2D0746" w14:textId="77777777" w:rsidR="00B72C65" w:rsidRPr="001B7CA2" w:rsidRDefault="00B72C65" w:rsidP="00B72C65">
      <w:pPr>
        <w:rPr>
          <w:lang w:val="en-GB"/>
        </w:rPr>
      </w:pPr>
      <w:r w:rsidRPr="001B7CA2">
        <w:rPr>
          <w:b/>
          <w:bCs/>
          <w:i/>
          <w:iCs/>
          <w:lang w:val="en-GB"/>
        </w:rPr>
        <w:t xml:space="preserve">E. Initiatives to foster a rule of law culture </w:t>
      </w:r>
    </w:p>
    <w:p w14:paraId="097D0377" w14:textId="77777777" w:rsidR="00B72C65" w:rsidRPr="001B7CA2" w:rsidRDefault="00B72C65" w:rsidP="00B72C65">
      <w:pPr>
        <w:rPr>
          <w:lang w:val="en-GB"/>
        </w:rPr>
      </w:pPr>
      <w:r w:rsidRPr="001B7CA2">
        <w:rPr>
          <w:i/>
          <w:iCs/>
          <w:lang w:val="en-GB"/>
        </w:rPr>
        <w:t xml:space="preserve">46. Measures to foster a rule of law culture (e.g. debates in national parliaments on the rule of law, public information campaigns on rule of law issues, etc.) </w:t>
      </w:r>
    </w:p>
    <w:p w14:paraId="5DD8E8B9" w14:textId="16B1A51E" w:rsidR="00B72C65" w:rsidRPr="00B72C65" w:rsidRDefault="00B72C65" w:rsidP="00B72C65">
      <w:proofErr w:type="spellStart"/>
      <w:r w:rsidRPr="00DF26EC">
        <w:rPr>
          <w:b/>
          <w:bCs/>
          <w:i/>
          <w:iCs/>
        </w:rPr>
        <w:t>Other</w:t>
      </w:r>
      <w:proofErr w:type="spellEnd"/>
      <w:r w:rsidRPr="00DF26EC">
        <w:rPr>
          <w:b/>
          <w:bCs/>
          <w:i/>
          <w:iCs/>
        </w:rPr>
        <w:t xml:space="preserve"> – </w:t>
      </w:r>
      <w:proofErr w:type="spellStart"/>
      <w:r w:rsidRPr="00DF26EC">
        <w:rPr>
          <w:b/>
          <w:bCs/>
          <w:i/>
          <w:iCs/>
        </w:rPr>
        <w:t>please</w:t>
      </w:r>
      <w:proofErr w:type="spellEnd"/>
      <w:r w:rsidRPr="00DF26EC">
        <w:rPr>
          <w:b/>
          <w:bCs/>
          <w:i/>
          <w:iCs/>
        </w:rPr>
        <w:t xml:space="preserve"> </w:t>
      </w:r>
      <w:proofErr w:type="spellStart"/>
      <w:r w:rsidRPr="00DF26EC">
        <w:rPr>
          <w:b/>
          <w:bCs/>
          <w:i/>
          <w:iCs/>
        </w:rPr>
        <w:t>specify</w:t>
      </w:r>
      <w:proofErr w:type="spellEnd"/>
    </w:p>
    <w:sectPr w:rsidR="00B72C65" w:rsidRPr="00B72C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84B"/>
    <w:rsid w:val="00005148"/>
    <w:rsid w:val="001A4295"/>
    <w:rsid w:val="002C7FB0"/>
    <w:rsid w:val="002E4B5D"/>
    <w:rsid w:val="00325517"/>
    <w:rsid w:val="003702C2"/>
    <w:rsid w:val="0037086E"/>
    <w:rsid w:val="00502AFF"/>
    <w:rsid w:val="0054484B"/>
    <w:rsid w:val="006D2D56"/>
    <w:rsid w:val="008C2750"/>
    <w:rsid w:val="00AD70A4"/>
    <w:rsid w:val="00B21CFA"/>
    <w:rsid w:val="00B72C65"/>
    <w:rsid w:val="00CA76B5"/>
    <w:rsid w:val="00CC582A"/>
    <w:rsid w:val="00D50FC2"/>
    <w:rsid w:val="00DA1068"/>
    <w:rsid w:val="00E6339C"/>
    <w:rsid w:val="00E74171"/>
    <w:rsid w:val="00F003BC"/>
    <w:rsid w:val="00FC416C"/>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A7586"/>
  <w15:chartTrackingRefBased/>
  <w15:docId w15:val="{A69727AB-BE92-4634-B5C9-320503B3B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8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4484B"/>
    <w:rPr>
      <w:color w:val="0563C1" w:themeColor="hyperlink"/>
      <w:u w:val="single"/>
    </w:rPr>
  </w:style>
  <w:style w:type="character" w:customStyle="1" w:styleId="UnresolvedMention">
    <w:name w:val="Unresolved Mention"/>
    <w:basedOn w:val="DefaultParagraphFont"/>
    <w:uiPriority w:val="99"/>
    <w:semiHidden/>
    <w:unhideWhenUsed/>
    <w:rsid w:val="0054484B"/>
    <w:rPr>
      <w:color w:val="605E5C"/>
      <w:shd w:val="clear" w:color="auto" w:fill="E1DFDD"/>
    </w:rPr>
  </w:style>
  <w:style w:type="paragraph" w:styleId="ListParagraph">
    <w:name w:val="List Paragraph"/>
    <w:basedOn w:val="Normal"/>
    <w:uiPriority w:val="34"/>
    <w:qFormat/>
    <w:rsid w:val="008C2750"/>
    <w:pPr>
      <w:ind w:left="720"/>
      <w:contextualSpacing/>
    </w:pPr>
  </w:style>
  <w:style w:type="paragraph" w:styleId="NormalWeb">
    <w:name w:val="Normal (Web)"/>
    <w:basedOn w:val="Normal"/>
    <w:uiPriority w:val="99"/>
    <w:unhideWhenUsed/>
    <w:rsid w:val="00B72C6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3702C2"/>
    <w:rPr>
      <w:sz w:val="16"/>
      <w:szCs w:val="16"/>
    </w:rPr>
  </w:style>
  <w:style w:type="paragraph" w:styleId="CommentText">
    <w:name w:val="annotation text"/>
    <w:basedOn w:val="Normal"/>
    <w:link w:val="CommentTextChar"/>
    <w:uiPriority w:val="99"/>
    <w:semiHidden/>
    <w:unhideWhenUsed/>
    <w:rsid w:val="003702C2"/>
    <w:pPr>
      <w:spacing w:line="240" w:lineRule="auto"/>
    </w:pPr>
    <w:rPr>
      <w:sz w:val="20"/>
      <w:szCs w:val="20"/>
    </w:rPr>
  </w:style>
  <w:style w:type="character" w:customStyle="1" w:styleId="CommentTextChar">
    <w:name w:val="Comment Text Char"/>
    <w:basedOn w:val="DefaultParagraphFont"/>
    <w:link w:val="CommentText"/>
    <w:uiPriority w:val="99"/>
    <w:semiHidden/>
    <w:rsid w:val="003702C2"/>
    <w:rPr>
      <w:sz w:val="20"/>
      <w:szCs w:val="20"/>
    </w:rPr>
  </w:style>
  <w:style w:type="paragraph" w:styleId="CommentSubject">
    <w:name w:val="annotation subject"/>
    <w:basedOn w:val="CommentText"/>
    <w:next w:val="CommentText"/>
    <w:link w:val="CommentSubjectChar"/>
    <w:uiPriority w:val="99"/>
    <w:semiHidden/>
    <w:unhideWhenUsed/>
    <w:rsid w:val="003702C2"/>
    <w:rPr>
      <w:b/>
      <w:bCs/>
    </w:rPr>
  </w:style>
  <w:style w:type="character" w:customStyle="1" w:styleId="CommentSubjectChar">
    <w:name w:val="Comment Subject Char"/>
    <w:basedOn w:val="CommentTextChar"/>
    <w:link w:val="CommentSubject"/>
    <w:uiPriority w:val="99"/>
    <w:semiHidden/>
    <w:rsid w:val="003702C2"/>
    <w:rPr>
      <w:b/>
      <w:bCs/>
      <w:sz w:val="20"/>
      <w:szCs w:val="20"/>
    </w:rPr>
  </w:style>
  <w:style w:type="paragraph" w:styleId="BalloonText">
    <w:name w:val="Balloon Text"/>
    <w:basedOn w:val="Normal"/>
    <w:link w:val="BalloonTextChar"/>
    <w:uiPriority w:val="99"/>
    <w:semiHidden/>
    <w:unhideWhenUsed/>
    <w:rsid w:val="003702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02C2"/>
    <w:rPr>
      <w:rFonts w:ascii="Segoe UI" w:hAnsi="Segoe UI" w:cs="Segoe UI"/>
      <w:sz w:val="18"/>
      <w:szCs w:val="18"/>
    </w:rPr>
  </w:style>
  <w:style w:type="character" w:customStyle="1" w:styleId="lblnewsfulltext">
    <w:name w:val="lblnewsfulltext"/>
    <w:basedOn w:val="DefaultParagraphFont"/>
    <w:rsid w:val="00E633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commreports.ohchr.org/TMResultsBase/DownLoadPublicCommunicationFile?gId=25259" TargetMode="External"/><Relationship Id="rId13" Type="http://schemas.openxmlformats.org/officeDocument/2006/relationships/hyperlink" Target="https://undocs.org/en/A/HRC/42/59/Add.1" TargetMode="External"/><Relationship Id="rId18" Type="http://schemas.openxmlformats.org/officeDocument/2006/relationships/hyperlink" Target="https://undocs.org/en/A/HRC/40/52/Add.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undocs.org/CCPR/C/BEL/CO/6" TargetMode="External"/><Relationship Id="rId7" Type="http://schemas.openxmlformats.org/officeDocument/2006/relationships/hyperlink" Target="https://undocs.org/en/A/HRC/40/52/Add.5" TargetMode="External"/><Relationship Id="rId12" Type="http://schemas.openxmlformats.org/officeDocument/2006/relationships/hyperlink" Target="https://www.ohchr.org/EN/NewsEvents/Pages/DisplayNews.aspx?NewsID=26730" TargetMode="External"/><Relationship Id="rId17" Type="http://schemas.openxmlformats.org/officeDocument/2006/relationships/hyperlink" Target="https://docstore.ohchr.org/SelfServices/FilesHandler.ashx?enc=6QkG1d%2fPPRiCAqhKb7yhsnKB82NyZV5e4fvxB6eLo8Gs8cRiyobIhZtt9wB%2b250G0UrgGFeAgnnzwy3bBH6nhyTjVKxHKj8m09dfYppzjwUjiQyEz%2b%2b3BeusogbMjOqP" TargetMode="External"/><Relationship Id="rId25" Type="http://schemas.openxmlformats.org/officeDocument/2006/relationships/hyperlink" Target="https://undocs.org/en/A/HRC/42/59/Add.1" TargetMode="External"/><Relationship Id="rId2" Type="http://schemas.openxmlformats.org/officeDocument/2006/relationships/numbering" Target="numbering.xml"/><Relationship Id="rId16" Type="http://schemas.openxmlformats.org/officeDocument/2006/relationships/hyperlink" Target="https://docstore.ohchr.org/SelfServices/FilesHandler.ashx?enc=6QkG1d%2fPPRiCAqhKb7yhsnKB82NyZV5e4fvxB6eLo8Gs8cRiyobIhZtt9wB%2b250G0UrgGFeAgnnzwy3bBH6nhyTjVKxHKj8m09dfYppzjwUjiQyEz%2b%2b3BeusogbMjOqP" TargetMode="External"/><Relationship Id="rId20" Type="http://schemas.openxmlformats.org/officeDocument/2006/relationships/hyperlink" Target="https://undocs.org/fr/E/C.12/BEL/CO/5" TargetMode="External"/><Relationship Id="rId1" Type="http://schemas.openxmlformats.org/officeDocument/2006/relationships/customXml" Target="../customXml/item1.xml"/><Relationship Id="rId6" Type="http://schemas.openxmlformats.org/officeDocument/2006/relationships/hyperlink" Target="https://undocs.org/CCPR/C/BEL/CO/6" TargetMode="External"/><Relationship Id="rId11" Type="http://schemas.openxmlformats.org/officeDocument/2006/relationships/hyperlink" Target="https://spcommreports.ohchr.org/Tmsearch/TMDocuments" TargetMode="External"/><Relationship Id="rId24" Type="http://schemas.openxmlformats.org/officeDocument/2006/relationships/hyperlink" Target="https://undocs.org/en/A/HRC/40/52/Add.5" TargetMode="External"/><Relationship Id="rId5" Type="http://schemas.openxmlformats.org/officeDocument/2006/relationships/webSettings" Target="webSettings.xml"/><Relationship Id="rId15" Type="http://schemas.openxmlformats.org/officeDocument/2006/relationships/hyperlink" Target="https://undocs.org/en/A/HRC/40/52/Add.5" TargetMode="External"/><Relationship Id="rId23" Type="http://schemas.openxmlformats.org/officeDocument/2006/relationships/hyperlink" Target="https://undocs.org/en/A/HRC/42/59/Add.1" TargetMode="External"/><Relationship Id="rId10" Type="http://schemas.openxmlformats.org/officeDocument/2006/relationships/hyperlink" Target="https://spcommreports.ohchr.org/TMResultsBase/DownLoadPublicCommunicationFile?gId=24154" TargetMode="External"/><Relationship Id="rId19" Type="http://schemas.openxmlformats.org/officeDocument/2006/relationships/hyperlink" Target="https://undocs.org/CCPR/C/BEL/CO/6" TargetMode="External"/><Relationship Id="rId4" Type="http://schemas.openxmlformats.org/officeDocument/2006/relationships/settings" Target="settings.xml"/><Relationship Id="rId9" Type="http://schemas.openxmlformats.org/officeDocument/2006/relationships/hyperlink" Target="https://spcommreports.ohchr.org/TMResultsBase/DownLoadPublicCommunicationFile?gId=24851" TargetMode="External"/><Relationship Id="rId14" Type="http://schemas.openxmlformats.org/officeDocument/2006/relationships/hyperlink" Target="https://docstore.ohchr.org/SelfServices/FilesHandler.ashx?enc=6QkG1d%2fPPRiCAqhKb7yhsk8r1vpHio%2fg7Mp83cTcS1cUBTPal6pQqSnnKAt9zXb2Uv8VuBfYxEYQYjA%2fz79vUKAIWS%2fklvSy5rZHWCgoGOIQOqVsDyB%2buVUGyTsbSJVM" TargetMode="External"/><Relationship Id="rId22" Type="http://schemas.openxmlformats.org/officeDocument/2006/relationships/hyperlink" Target="https://undocs.org/en/A/HRC/40/52/Add.5"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AA3E4-9B7A-453C-A338-8110E0814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2992</Words>
  <Characters>17057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Marie-Dominique</cp:lastModifiedBy>
  <cp:revision>3</cp:revision>
  <dcterms:created xsi:type="dcterms:W3CDTF">2021-03-01T18:31:00Z</dcterms:created>
  <dcterms:modified xsi:type="dcterms:W3CDTF">2021-03-03T21:57:00Z</dcterms:modified>
</cp:coreProperties>
</file>